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8E" w:rsidRPr="00E134D4" w:rsidRDefault="00570D8E" w:rsidP="00570D8E">
      <w:pPr>
        <w:pStyle w:val="Materialtyp1"/>
      </w:pPr>
      <w:r>
        <w:t>Checkliste</w:t>
      </w:r>
    </w:p>
    <w:p w:rsidR="00570D8E" w:rsidRDefault="00570D8E" w:rsidP="00570D8E">
      <w:pPr>
        <w:pStyle w:val="Headline"/>
      </w:pPr>
      <w:r>
        <w:t>Einen Lernquellenpool aufbauen – worauf zu achten ist</w:t>
      </w:r>
    </w:p>
    <w:p w:rsidR="00570D8E" w:rsidRDefault="00570D8E" w:rsidP="00570D8E">
      <w:pPr>
        <w:pStyle w:val="Teaser"/>
      </w:pPr>
      <w:r>
        <w:t>Die folgende Auflistung will Sie dabei unterstützen, einen Lernquellenpool in Ihrer Einrichtung aufzubauen. Sie wurde von einer Gruppe von Kursleitenden in einer Weiterbildung entwickelt – und da</w:t>
      </w:r>
      <w:r>
        <w:t>rf gerne fortgeschrieben werden.</w:t>
      </w:r>
    </w:p>
    <w:p w:rsidR="00570D8E" w:rsidRDefault="00570D8E" w:rsidP="00570D8E">
      <w:pPr>
        <w:pStyle w:val="Flietext"/>
        <w:rPr>
          <w:b/>
        </w:rPr>
      </w:pPr>
    </w:p>
    <w:p w:rsidR="00570D8E" w:rsidRPr="00570D8E" w:rsidRDefault="00570D8E" w:rsidP="00570D8E">
      <w:pPr>
        <w:pStyle w:val="Flietext"/>
        <w:rPr>
          <w:b/>
        </w:rPr>
      </w:pPr>
      <w:bookmarkStart w:id="0" w:name="_GoBack"/>
      <w:bookmarkEnd w:id="0"/>
      <w:r w:rsidRPr="00570D8E">
        <w:rPr>
          <w:b/>
        </w:rPr>
        <w:t>Wenn Ihr einen Lernquellenpool aufbauen wollt!</w:t>
      </w:r>
    </w:p>
    <w:p w:rsidR="00570D8E" w:rsidRDefault="00570D8E" w:rsidP="00570D8E">
      <w:pPr>
        <w:pStyle w:val="Flietext"/>
      </w:pPr>
    </w:p>
    <w:p w:rsidR="00570D8E" w:rsidRPr="00570D8E" w:rsidRDefault="00570D8E" w:rsidP="00570D8E">
      <w:pPr>
        <w:pStyle w:val="Flietext"/>
        <w:rPr>
          <w:b/>
        </w:rPr>
      </w:pPr>
      <w:r w:rsidRPr="00570D8E">
        <w:rPr>
          <w:b/>
        </w:rPr>
        <w:t>A: Im Vorfeld grundsätzliches Interesse klären, sichern, wecken</w:t>
      </w:r>
    </w:p>
    <w:p w:rsidR="00570D8E" w:rsidRDefault="00570D8E" w:rsidP="00570D8E">
      <w:pPr>
        <w:pStyle w:val="AufzhlungPunkte"/>
      </w:pPr>
      <w:r>
        <w:t>Wen muss ich als erstes über die Idee informieren? Wann und wie?</w:t>
      </w:r>
    </w:p>
    <w:p w:rsidR="00570D8E" w:rsidRDefault="00570D8E" w:rsidP="00570D8E">
      <w:pPr>
        <w:pStyle w:val="AufzhlungPunkte"/>
      </w:pPr>
      <w:r>
        <w:t>Wen muss ich noch über die Idee informieren? Welches Forum ist geeignet dafür?</w:t>
      </w:r>
    </w:p>
    <w:p w:rsidR="00570D8E" w:rsidRDefault="00570D8E" w:rsidP="00570D8E">
      <w:pPr>
        <w:pStyle w:val="AufzhlungPunkte"/>
      </w:pPr>
      <w:r>
        <w:t>Womit kann ich bei mir in der Schule Neugier/Interesse für einen Lernquellenpool wecken?</w:t>
      </w:r>
    </w:p>
    <w:p w:rsidR="00570D8E" w:rsidRDefault="00570D8E" w:rsidP="00570D8E">
      <w:pPr>
        <w:pStyle w:val="AufzhlungPunkte"/>
      </w:pPr>
      <w:r>
        <w:t xml:space="preserve">Wie kann frühzeitig gesichert werden, dass auch die Ideen, Interessen und Nutzerkompetenzen der Lernenden mit bedacht werden? </w:t>
      </w:r>
    </w:p>
    <w:p w:rsidR="00570D8E" w:rsidRPr="00570D8E" w:rsidRDefault="00570D8E" w:rsidP="00570D8E">
      <w:pPr>
        <w:pStyle w:val="Flietext"/>
        <w:rPr>
          <w:b/>
        </w:rPr>
      </w:pPr>
      <w:r w:rsidRPr="00570D8E">
        <w:rPr>
          <w:b/>
        </w:rPr>
        <w:t>B: Einstimmung im Team/Kollegium</w:t>
      </w:r>
    </w:p>
    <w:p w:rsidR="00570D8E" w:rsidRDefault="00570D8E" w:rsidP="00570D8E">
      <w:pPr>
        <w:pStyle w:val="AufzhlungPunkte"/>
      </w:pPr>
      <w:r>
        <w:t>Warum halten wir einen Lernquellenpool grundsätzlich für zweckmäßig?</w:t>
      </w:r>
    </w:p>
    <w:p w:rsidR="00570D8E" w:rsidRDefault="00570D8E" w:rsidP="00570D8E">
      <w:pPr>
        <w:pStyle w:val="AufzhlungPunkte"/>
      </w:pPr>
      <w:r>
        <w:t>Welchen Mehrwert versprechen wir uns davon?</w:t>
      </w:r>
    </w:p>
    <w:p w:rsidR="00570D8E" w:rsidRDefault="00570D8E" w:rsidP="00570D8E">
      <w:pPr>
        <w:pStyle w:val="AufzhlungPunkte"/>
      </w:pPr>
      <w:r>
        <w:t>Welche Bedenken haben wir?</w:t>
      </w:r>
    </w:p>
    <w:p w:rsidR="00570D8E" w:rsidRPr="00570D8E" w:rsidRDefault="00570D8E" w:rsidP="00570D8E">
      <w:pPr>
        <w:pStyle w:val="Flietext"/>
        <w:rPr>
          <w:b/>
        </w:rPr>
      </w:pPr>
      <w:r w:rsidRPr="00570D8E">
        <w:rPr>
          <w:b/>
        </w:rPr>
        <w:t>C: Standortbestimmung: Was haben wir bereits an Ressourcen?</w:t>
      </w:r>
    </w:p>
    <w:p w:rsidR="00570D8E" w:rsidRDefault="00570D8E" w:rsidP="00570D8E">
      <w:pPr>
        <w:pStyle w:val="AufzhlungPunkte"/>
      </w:pPr>
      <w:r>
        <w:t xml:space="preserve">Welche Ressourcen (Bücher, Zeitschriften, Skripte, </w:t>
      </w:r>
      <w:proofErr w:type="spellStart"/>
      <w:r>
        <w:t>Arbeits</w:t>
      </w:r>
      <w:proofErr w:type="spellEnd"/>
      <w:r>
        <w:t xml:space="preserve"> –und Übungsblätter, Modelle, </w:t>
      </w:r>
      <w:proofErr w:type="spellStart"/>
      <w:r>
        <w:t>PC’s</w:t>
      </w:r>
      <w:proofErr w:type="spellEnd"/>
      <w:r>
        <w:t>, Lernsoftware, Stühle, Tische, etc.) haben wir bereits?</w:t>
      </w:r>
    </w:p>
    <w:p w:rsidR="00570D8E" w:rsidRDefault="00570D8E" w:rsidP="00570D8E">
      <w:pPr>
        <w:pStyle w:val="AufzhlungPunkte"/>
      </w:pPr>
      <w:r>
        <w:t>Wo sind die derzeit im Einsatz?</w:t>
      </w:r>
    </w:p>
    <w:p w:rsidR="00570D8E" w:rsidRDefault="00570D8E" w:rsidP="00570D8E">
      <w:pPr>
        <w:pStyle w:val="AufzhlungPunkte"/>
      </w:pPr>
      <w:r>
        <w:t>Wie werden die bisher / von wem genutzt?</w:t>
      </w:r>
    </w:p>
    <w:p w:rsidR="00570D8E" w:rsidRDefault="00570D8E" w:rsidP="00570D8E">
      <w:pPr>
        <w:pStyle w:val="AufzhlungPunkte"/>
      </w:pPr>
      <w:r>
        <w:lastRenderedPageBreak/>
        <w:t>Wem gehören diese Ressourcen (Eigentumsklärung)</w:t>
      </w:r>
    </w:p>
    <w:p w:rsidR="00570D8E" w:rsidRDefault="00570D8E" w:rsidP="00570D8E">
      <w:pPr>
        <w:pStyle w:val="AufzhlungPunkte"/>
      </w:pPr>
      <w:r>
        <w:t>Welche örtlichen/architektonischen Bedingungen für einen Lernquellenpool haben wir an unserer Schule?</w:t>
      </w:r>
    </w:p>
    <w:p w:rsidR="00570D8E" w:rsidRPr="00570D8E" w:rsidRDefault="00570D8E" w:rsidP="00570D8E">
      <w:pPr>
        <w:pStyle w:val="Flietext"/>
        <w:rPr>
          <w:b/>
        </w:rPr>
      </w:pPr>
      <w:r w:rsidRPr="00570D8E">
        <w:rPr>
          <w:b/>
        </w:rPr>
        <w:t>D: Der Phantasie freien Lauf lassen</w:t>
      </w:r>
    </w:p>
    <w:p w:rsidR="00570D8E" w:rsidRDefault="00570D8E" w:rsidP="00570D8E">
      <w:pPr>
        <w:pStyle w:val="AufzhlungPunkte"/>
      </w:pPr>
      <w:r>
        <w:t>Wer kann sich das Einbinden eines Lernquellenpools in die Lern-/Lehrstruktur der Schule wie vorstellen?</w:t>
      </w:r>
    </w:p>
    <w:p w:rsidR="00570D8E" w:rsidRDefault="00570D8E" w:rsidP="00570D8E">
      <w:pPr>
        <w:pStyle w:val="AufzhlungPunkte"/>
      </w:pPr>
      <w:r>
        <w:t>Realisierungsüberlegungen</w:t>
      </w:r>
    </w:p>
    <w:p w:rsidR="00570D8E" w:rsidRDefault="00570D8E" w:rsidP="00570D8E">
      <w:pPr>
        <w:pStyle w:val="AufzhlungPunkte"/>
      </w:pPr>
      <w:r>
        <w:t>Welche Gegebenheiten sprechen für die jeweilig in D vorgestellte Idee? Welche sprechen eher dagegen? Wo sind Gestaltungsmöglichkeiten?</w:t>
      </w:r>
    </w:p>
    <w:p w:rsidR="00570D8E" w:rsidRDefault="00570D8E" w:rsidP="00570D8E">
      <w:pPr>
        <w:pStyle w:val="AufzhlungPunkte"/>
      </w:pPr>
      <w:r>
        <w:t>Was soll der Lernquellenpool beinhalten?</w:t>
      </w:r>
    </w:p>
    <w:p w:rsidR="00570D8E" w:rsidRDefault="00570D8E" w:rsidP="00570D8E">
      <w:pPr>
        <w:pStyle w:val="AufzhlungPunkte"/>
      </w:pPr>
      <w:r>
        <w:t>Wo soll der Lernquellenpool lokalisiert sein (Ort, Raum/Orte, Räume)</w:t>
      </w:r>
    </w:p>
    <w:p w:rsidR="00570D8E" w:rsidRDefault="00570D8E" w:rsidP="00570D8E">
      <w:pPr>
        <w:pStyle w:val="AufzhlungPunkte"/>
      </w:pPr>
      <w:r>
        <w:t>Wie soll die verbindliche Nutzung organisiert sein?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Gibt es „freie Lernzeiten“, die individuell genutzt werden können?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Wie kann die Nutzung aus dem Unterricht heraus angelegt werden?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Wie kann man koordinieren, wenn mehr als eine Gruppe zur gleichen Zeit den Pool nutzen will/soll?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Klärung von Öffnungszeiten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Klärung des technischen Supports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Regelwerk der Nutzung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Pflege, Aktualisierung, Ausleihmöglichkeiten?</w:t>
      </w:r>
    </w:p>
    <w:p w:rsidR="00570D8E" w:rsidRDefault="00570D8E" w:rsidP="00570D8E">
      <w:pPr>
        <w:pStyle w:val="AufzhlungPunkte"/>
      </w:pPr>
      <w:r>
        <w:t>Womit können, sollten wir anfangen?</w:t>
      </w:r>
    </w:p>
    <w:p w:rsidR="00570D8E" w:rsidRPr="00570D8E" w:rsidRDefault="00570D8E" w:rsidP="00570D8E">
      <w:pPr>
        <w:pStyle w:val="Flietext"/>
        <w:rPr>
          <w:b/>
        </w:rPr>
      </w:pPr>
      <w:r w:rsidRPr="00570D8E">
        <w:rPr>
          <w:b/>
        </w:rPr>
        <w:t>F: Finanzierung</w:t>
      </w:r>
    </w:p>
    <w:p w:rsidR="00570D8E" w:rsidRDefault="00570D8E" w:rsidP="00570D8E">
      <w:pPr>
        <w:pStyle w:val="AufzhlungPunkte"/>
      </w:pPr>
      <w:r>
        <w:t>Haben wir Erstausstattungsbedarfe? Welche sind unbedingt erforderlich?</w:t>
      </w:r>
    </w:p>
    <w:p w:rsidR="00570D8E" w:rsidRDefault="00570D8E" w:rsidP="00570D8E">
      <w:pPr>
        <w:pStyle w:val="AufzhlungPunkte"/>
      </w:pPr>
      <w:r>
        <w:t>Gibt es Gelder oder eine Projektidee, um die Erstausstattung zu realisieren?</w:t>
      </w:r>
    </w:p>
    <w:p w:rsidR="00570D8E" w:rsidRDefault="00570D8E" w:rsidP="00570D8E">
      <w:pPr>
        <w:pStyle w:val="AufzhlungPunkte"/>
      </w:pPr>
      <w:r>
        <w:t>Wie kann der Lernquellenpool in das Schulbudget integriert werden?</w:t>
      </w:r>
    </w:p>
    <w:p w:rsidR="00570D8E" w:rsidRDefault="00570D8E" w:rsidP="00570D8E">
      <w:pPr>
        <w:pStyle w:val="AufzhlungPunkte"/>
      </w:pPr>
      <w:r>
        <w:lastRenderedPageBreak/>
        <w:t>Was kostet es, den Lernquellenpool aktuell zu halten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Arbeitskraft/Manpower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Material (neue Bücher, neue Arbeitsblätter....)</w:t>
      </w:r>
    </w:p>
    <w:p w:rsidR="00570D8E" w:rsidRDefault="00570D8E" w:rsidP="00570D8E">
      <w:pPr>
        <w:pStyle w:val="AufzhlungPunkte"/>
        <w:numPr>
          <w:ilvl w:val="1"/>
          <w:numId w:val="2"/>
        </w:numPr>
      </w:pPr>
      <w:r>
        <w:t>Medienpflege und –</w:t>
      </w:r>
      <w:proofErr w:type="spellStart"/>
      <w:r>
        <w:t>wartung</w:t>
      </w:r>
      <w:proofErr w:type="spellEnd"/>
    </w:p>
    <w:p w:rsidR="00570D8E" w:rsidRPr="00570D8E" w:rsidRDefault="00570D8E" w:rsidP="00570D8E">
      <w:pPr>
        <w:pStyle w:val="Flietext"/>
        <w:rPr>
          <w:b/>
        </w:rPr>
      </w:pPr>
      <w:r w:rsidRPr="00570D8E">
        <w:rPr>
          <w:b/>
        </w:rPr>
        <w:t xml:space="preserve">G: Etablieren einer </w:t>
      </w:r>
      <w:proofErr w:type="spellStart"/>
      <w:r w:rsidRPr="00570D8E">
        <w:rPr>
          <w:b/>
        </w:rPr>
        <w:t>Kümmerergruppe</w:t>
      </w:r>
      <w:proofErr w:type="spellEnd"/>
    </w:p>
    <w:p w:rsidR="00570D8E" w:rsidRDefault="00570D8E" w:rsidP="00570D8E">
      <w:pPr>
        <w:pStyle w:val="AufzhlungPunkte"/>
      </w:pPr>
      <w:r>
        <w:t>Wer hat im Kollegium Interesse, Kümmerer/in zu sein?</w:t>
      </w:r>
    </w:p>
    <w:p w:rsidR="00570D8E" w:rsidRDefault="00570D8E" w:rsidP="00570D8E">
      <w:pPr>
        <w:pStyle w:val="AufzhlungPunkte"/>
      </w:pPr>
      <w:r>
        <w:t>Unter welche Bedingungen? (z.B. welche Arbeitsentlastungen sind möglich, um diesen Auftrag zu erfüllen)</w:t>
      </w:r>
    </w:p>
    <w:p w:rsidR="00570D8E" w:rsidRDefault="00570D8E" w:rsidP="00570D8E">
      <w:pPr>
        <w:pStyle w:val="AufzhlungPunkte"/>
      </w:pPr>
      <w:r>
        <w:t xml:space="preserve">Wie/wann/wo arbeitet die </w:t>
      </w:r>
      <w:proofErr w:type="spellStart"/>
      <w:r>
        <w:t>Kümmerergruppe</w:t>
      </w:r>
      <w:proofErr w:type="spellEnd"/>
      <w:r>
        <w:t>?</w:t>
      </w:r>
    </w:p>
    <w:p w:rsidR="00570D8E" w:rsidRDefault="00570D8E" w:rsidP="00570D8E">
      <w:pPr>
        <w:pStyle w:val="AufzhlungPunkte"/>
      </w:pPr>
      <w:r>
        <w:t>Welche Entscheidungskompetenzen hat sie, welche Informationspflichten hat sie?</w:t>
      </w:r>
    </w:p>
    <w:p w:rsidR="00570D8E" w:rsidRDefault="00570D8E" w:rsidP="00570D8E">
      <w:pPr>
        <w:pStyle w:val="AufzhlungPunkte"/>
      </w:pPr>
      <w:r>
        <w:t>Wie können Lernende als Kümmerer mit eingebunden werden?</w:t>
      </w:r>
    </w:p>
    <w:p w:rsidR="00570D8E" w:rsidRDefault="00570D8E" w:rsidP="00570D8E">
      <w:pPr>
        <w:pStyle w:val="AufzhlungPunkte"/>
        <w:numPr>
          <w:ilvl w:val="0"/>
          <w:numId w:val="0"/>
        </w:numPr>
        <w:ind w:left="360"/>
      </w:pPr>
    </w:p>
    <w:p w:rsidR="00570D8E" w:rsidRDefault="00570D8E" w:rsidP="00570D8E">
      <w:pPr>
        <w:pStyle w:val="AufzhlungPunkte"/>
        <w:numPr>
          <w:ilvl w:val="0"/>
          <w:numId w:val="0"/>
        </w:numPr>
        <w:ind w:left="360"/>
      </w:pPr>
    </w:p>
    <w:p w:rsidR="00570D8E" w:rsidRPr="00570D8E" w:rsidRDefault="00570D8E" w:rsidP="0057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val="en-GB" w:eastAsia="en-US"/>
        </w:rPr>
      </w:pPr>
      <w:r w:rsidRPr="00570D8E"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val="en-GB" w:eastAsia="en-US"/>
        </w:rPr>
        <w:t xml:space="preserve">CC BY SA 3.0 by </w:t>
      </w:r>
      <w:r w:rsidRPr="00570D8E">
        <w:rPr>
          <w:rFonts w:ascii="Arial" w:hAnsi="Arial" w:cs="Arial"/>
          <w:b/>
          <w:i/>
          <w:color w:val="auto"/>
          <w:sz w:val="24"/>
          <w:szCs w:val="24"/>
          <w:bdr w:val="none" w:sz="0" w:space="0" w:color="auto"/>
          <w:lang w:val="en-GB" w:eastAsia="en-US"/>
        </w:rPr>
        <w:t>Rosemarie Klein</w:t>
      </w:r>
      <w:r w:rsidRPr="00570D8E"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val="en-GB" w:eastAsia="en-US"/>
        </w:rPr>
        <w:t xml:space="preserve"> </w:t>
      </w:r>
      <w:proofErr w:type="spellStart"/>
      <w:r w:rsidRPr="00570D8E"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val="en-GB" w:eastAsia="en-US"/>
        </w:rPr>
        <w:t>für</w:t>
      </w:r>
      <w:proofErr w:type="spellEnd"/>
      <w:r w:rsidRPr="00570D8E"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val="en-GB" w:eastAsia="en-US"/>
        </w:rPr>
        <w:t xml:space="preserve"> </w:t>
      </w:r>
      <w:proofErr w:type="spellStart"/>
      <w:r w:rsidRPr="00570D8E"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val="en-GB" w:eastAsia="en-US"/>
        </w:rPr>
        <w:t>wb</w:t>
      </w:r>
      <w:proofErr w:type="spellEnd"/>
      <w:r w:rsidRPr="00570D8E"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val="en-GB" w:eastAsia="en-US"/>
        </w:rPr>
        <w:t>-web</w:t>
      </w:r>
    </w:p>
    <w:p w:rsidR="000A44F1" w:rsidRPr="00570D8E" w:rsidRDefault="000A44F1" w:rsidP="00EE3EE3">
      <w:pPr>
        <w:rPr>
          <w:lang w:val="en-GB"/>
        </w:rPr>
      </w:pPr>
    </w:p>
    <w:sectPr w:rsidR="000A44F1" w:rsidRPr="00570D8E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80" w:rsidRDefault="00BC7D80" w:rsidP="00014AE4">
      <w:pPr>
        <w:spacing w:after="0" w:line="240" w:lineRule="auto"/>
      </w:pPr>
      <w:r>
        <w:separator/>
      </w:r>
    </w:p>
  </w:endnote>
  <w:endnote w:type="continuationSeparator" w:id="0">
    <w:p w:rsidR="00BC7D80" w:rsidRDefault="00BC7D80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Pr="00DB4FF9" w:rsidRDefault="00BC7D80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80" w:rsidRDefault="00BC7D80" w:rsidP="00014AE4">
      <w:pPr>
        <w:spacing w:after="0" w:line="240" w:lineRule="auto"/>
      </w:pPr>
      <w:r>
        <w:separator/>
      </w:r>
    </w:p>
  </w:footnote>
  <w:footnote w:type="continuationSeparator" w:id="0">
    <w:p w:rsidR="00BC7D80" w:rsidRDefault="00BC7D80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7D80" w:rsidRPr="00AC2223" w:rsidRDefault="00570D8E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C7D80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BC7D80" w:rsidRPr="00AC2223" w:rsidRDefault="00570D8E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="00BC7D80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014C9"/>
    <w:multiLevelType w:val="hybridMultilevel"/>
    <w:tmpl w:val="2AAEE482"/>
    <w:lvl w:ilvl="0" w:tplc="FDFA298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6D6E71"/>
        <w:w w:val="144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5041"/>
    <w:multiLevelType w:val="hybridMultilevel"/>
    <w:tmpl w:val="32EE28F4"/>
    <w:lvl w:ilvl="0" w:tplc="FDFA298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6D6E71"/>
        <w:w w:val="144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77024"/>
    <w:multiLevelType w:val="hybridMultilevel"/>
    <w:tmpl w:val="DFA8C7B2"/>
    <w:lvl w:ilvl="0" w:tplc="FDFA298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6D6E71"/>
        <w:w w:val="144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6496"/>
    <w:multiLevelType w:val="hybridMultilevel"/>
    <w:tmpl w:val="575CD99A"/>
    <w:lvl w:ilvl="0" w:tplc="FDFA298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6D6E71"/>
        <w:w w:val="144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734E2"/>
    <w:multiLevelType w:val="hybridMultilevel"/>
    <w:tmpl w:val="E1A87DA2"/>
    <w:lvl w:ilvl="0" w:tplc="FDFA298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6D6E71"/>
        <w:w w:val="144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65B47"/>
    <w:multiLevelType w:val="hybridMultilevel"/>
    <w:tmpl w:val="0E0A1606"/>
    <w:lvl w:ilvl="0" w:tplc="FDFA298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6D6E71"/>
        <w:w w:val="144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57C38"/>
    <w:multiLevelType w:val="hybridMultilevel"/>
    <w:tmpl w:val="83B889AA"/>
    <w:lvl w:ilvl="0" w:tplc="FDFA298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6D6E71"/>
        <w:w w:val="144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206FAA"/>
    <w:rsid w:val="0022296F"/>
    <w:rsid w:val="00333725"/>
    <w:rsid w:val="0048036C"/>
    <w:rsid w:val="004A33CC"/>
    <w:rsid w:val="00506977"/>
    <w:rsid w:val="00527C57"/>
    <w:rsid w:val="005462AD"/>
    <w:rsid w:val="00570D8E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A4490E"/>
    <w:rsid w:val="00A651A5"/>
    <w:rsid w:val="00A7652F"/>
    <w:rsid w:val="00AC2223"/>
    <w:rsid w:val="00B01655"/>
    <w:rsid w:val="00B11ED0"/>
    <w:rsid w:val="00B27E74"/>
    <w:rsid w:val="00B37840"/>
    <w:rsid w:val="00B70DAA"/>
    <w:rsid w:val="00BC2391"/>
    <w:rsid w:val="00BC7D80"/>
    <w:rsid w:val="00C07190"/>
    <w:rsid w:val="00C3075E"/>
    <w:rsid w:val="00C675B9"/>
    <w:rsid w:val="00C93D17"/>
    <w:rsid w:val="00CA33A1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0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0D8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E1F8-3717-4A65-A870-A9421D6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DE7927C5</Template>
  <TotalTime>0</TotalTime>
  <Pages>3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2</cp:revision>
  <cp:lastPrinted>2015-10-16T10:30:00Z</cp:lastPrinted>
  <dcterms:created xsi:type="dcterms:W3CDTF">2015-11-16T09:31:00Z</dcterms:created>
  <dcterms:modified xsi:type="dcterms:W3CDTF">2015-11-16T09:31:00Z</dcterms:modified>
</cp:coreProperties>
</file>