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3BCF5" w14:textId="40429E74" w:rsidR="000A44F1" w:rsidRDefault="00A84011" w:rsidP="008F3C02">
      <w:pPr>
        <w:pStyle w:val="Materialtyp1"/>
      </w:pPr>
      <w:r w:rsidRPr="00A84011">
        <w:t>Checkliste</w:t>
      </w:r>
    </w:p>
    <w:p w14:paraId="5A14C384" w14:textId="0E81C704" w:rsidR="00B003E6" w:rsidRDefault="00B003E6" w:rsidP="00FC6CDE">
      <w:pPr>
        <w:pStyle w:val="Headline"/>
      </w:pPr>
      <w:r>
        <w:t xml:space="preserve">Work-Life-Balance in der Bildungsarbeit </w:t>
      </w:r>
    </w:p>
    <w:p w14:paraId="699D87DA" w14:textId="7B65E9AF" w:rsidR="00B003E6" w:rsidRPr="00FC6CDE" w:rsidRDefault="008F3C02" w:rsidP="00876ABD">
      <w:pPr>
        <w:pStyle w:val="Teaser"/>
        <w:rPr>
          <w:b/>
          <w:i w:val="0"/>
        </w:rPr>
      </w:pPr>
      <w:r w:rsidRPr="00FC6CDE">
        <w:rPr>
          <w:b/>
          <w:i w:val="0"/>
        </w:rPr>
        <w:t xml:space="preserve">Es gibt viele Gründe, in der Bildungsarbeit die persönlichen Lebensumstände in den </w:t>
      </w:r>
      <w:r w:rsidR="00B43B73" w:rsidRPr="00FC6CDE">
        <w:rPr>
          <w:b/>
          <w:i w:val="0"/>
        </w:rPr>
        <w:t>L</w:t>
      </w:r>
      <w:r w:rsidRPr="00FC6CDE">
        <w:rPr>
          <w:b/>
          <w:i w:val="0"/>
        </w:rPr>
        <w:t>ern- und En</w:t>
      </w:r>
      <w:r w:rsidR="00EB04AB">
        <w:rPr>
          <w:b/>
          <w:i w:val="0"/>
        </w:rPr>
        <w:t xml:space="preserve">twicklungsprozess einzubeziehen. </w:t>
      </w:r>
      <w:r w:rsidR="002C6F83" w:rsidRPr="00FC6CDE">
        <w:rPr>
          <w:b/>
          <w:i w:val="0"/>
        </w:rPr>
        <w:t xml:space="preserve">Was Sie </w:t>
      </w:r>
      <w:r w:rsidR="00B43B73" w:rsidRPr="00FC6CDE">
        <w:rPr>
          <w:b/>
          <w:i w:val="0"/>
        </w:rPr>
        <w:t xml:space="preserve">diesbezüglich </w:t>
      </w:r>
      <w:r w:rsidR="00EB04AB">
        <w:rPr>
          <w:b/>
          <w:i w:val="0"/>
        </w:rPr>
        <w:t xml:space="preserve">insbesondere </w:t>
      </w:r>
      <w:r w:rsidR="002C6F83" w:rsidRPr="00FC6CDE">
        <w:rPr>
          <w:b/>
          <w:i w:val="0"/>
        </w:rPr>
        <w:t>bei der Vor</w:t>
      </w:r>
      <w:r w:rsidR="00EB04AB">
        <w:rPr>
          <w:b/>
          <w:i w:val="0"/>
        </w:rPr>
        <w:t>bereitung und Durchführung von</w:t>
      </w:r>
      <w:r w:rsidR="002C6F83" w:rsidRPr="00FC6CDE">
        <w:rPr>
          <w:b/>
          <w:i w:val="0"/>
        </w:rPr>
        <w:t xml:space="preserve"> Bildungsangebote</w:t>
      </w:r>
      <w:r w:rsidR="00EB04AB">
        <w:rPr>
          <w:b/>
          <w:i w:val="0"/>
        </w:rPr>
        <w:t>n für Geringqualifizierte</w:t>
      </w:r>
      <w:bookmarkStart w:id="0" w:name="_GoBack"/>
      <w:bookmarkEnd w:id="0"/>
      <w:r w:rsidRPr="00FC6CDE">
        <w:rPr>
          <w:b/>
          <w:i w:val="0"/>
        </w:rPr>
        <w:t xml:space="preserve"> beachten sollten – darum geht es im Folgenden.</w:t>
      </w:r>
    </w:p>
    <w:p w14:paraId="5B719B6C" w14:textId="6C338621" w:rsidR="008F3C02" w:rsidRPr="00B003E6" w:rsidRDefault="008F3C02" w:rsidP="008F3C02">
      <w:pPr>
        <w:pStyle w:val="Flietext"/>
      </w:pPr>
      <w:r>
        <w:t>Die Veränderung der sozialen Situation von Geringqualifizierten ist – aus ihrer Sicht – mit unüberschaubaren Risiken verbunden. Die bisherigen Lebensumstände bieten Gewohnheit und in gewissem Maße auch Sicherheit. Bildungsangebote, die eine Veränderung bewirken wollen – etwa die Vorbereitung auf die Aufnahme einer Arbeit oder die Nachqualifizierung zum Berufsabschluss –</w:t>
      </w:r>
      <w:r w:rsidR="00B43B73">
        <w:t xml:space="preserve"> </w:t>
      </w:r>
      <w:r>
        <w:t xml:space="preserve">bieten zwar die Option auf ein besseres Leben danach. Sie sind aber mit der Gewissheit verbunden, dass </w:t>
      </w:r>
      <w:r w:rsidR="00B43B73">
        <w:t xml:space="preserve">gegenwärtig </w:t>
      </w:r>
      <w:r>
        <w:t xml:space="preserve">Vieles im Leben der Betroffenen Veränderungen unterworfen sein wird. </w:t>
      </w:r>
      <w:r w:rsidR="00B43B73">
        <w:t>Damit Bildungsangebote mit dieser Zielgruppe gelingen,</w:t>
      </w:r>
      <w:r>
        <w:t xml:space="preserve"> müssen neben fachlichen Inhalten auch die persönlichen Lebensumstände der Menschen in dem Lern- und Entwicklungsprozess einbezogen werden.</w:t>
      </w:r>
    </w:p>
    <w:p w14:paraId="30646749" w14:textId="77777777" w:rsidR="00B003E6" w:rsidRPr="00B003E6" w:rsidRDefault="00876ABD" w:rsidP="00FC6CDE">
      <w:pPr>
        <w:pStyle w:val="Zwischenberschrift"/>
        <w:rPr>
          <w:szCs w:val="22"/>
        </w:rPr>
      </w:pPr>
      <w:r>
        <w:t>Vorbereitung der Bildungsmaßnahme</w:t>
      </w:r>
    </w:p>
    <w:p w14:paraId="16DB2853" w14:textId="1B6FE830" w:rsidR="00B003E6" w:rsidRPr="00B003E6" w:rsidRDefault="00BD167A" w:rsidP="008F3C02">
      <w:pPr>
        <w:pStyle w:val="AufzhlungKstchenfrCL"/>
      </w:pPr>
      <w:r w:rsidRPr="00907612">
        <w:rPr>
          <w:rStyle w:val="AufzhlungPunkteZchn"/>
        </w:rPr>
        <w:t>Die Teilnehmenden haben klar formulierte persönliche Ziele, die sie mit der Bildungsmaßnahme verwirklichen wollen. Die Ziele sind im Rahmen der Maßnahme erreichbar.</w:t>
      </w:r>
      <w:r w:rsidR="00907612" w:rsidRPr="00907612">
        <w:rPr>
          <w:rStyle w:val="AufzhlungPunkteZchn"/>
        </w:rPr>
        <w:br/>
      </w:r>
      <w:r w:rsidR="00907612" w:rsidRPr="00975B2D">
        <w:rPr>
          <w:rStyle w:val="Hervorhebung"/>
        </w:rPr>
        <w:t>Überprüfungskriterium</w:t>
      </w:r>
      <w:r w:rsidR="00B43B73">
        <w:rPr>
          <w:rStyle w:val="Hervorhebung"/>
        </w:rPr>
        <w:t xml:space="preserve"> kann dabei sein</w:t>
      </w:r>
      <w:r w:rsidR="00907612" w:rsidRPr="00975B2D">
        <w:rPr>
          <w:rStyle w:val="Hervorhebung"/>
        </w:rPr>
        <w:t>: In den Beratungsgesprächen vor Beginn/zu Beginn wurden individuelle Ziele nach den SMART-Kriterien formuliert</w:t>
      </w:r>
      <w:r w:rsidR="00094251" w:rsidRPr="00975B2D">
        <w:rPr>
          <w:rStyle w:val="Hervorhebung"/>
        </w:rPr>
        <w:t xml:space="preserve"> (spezifisch, messbar, attraktiv, realistisch, terminiert).</w:t>
      </w:r>
      <w:r w:rsidR="00907612" w:rsidRPr="00975B2D">
        <w:rPr>
          <w:rStyle w:val="Hervorhebung"/>
        </w:rPr>
        <w:t xml:space="preserve"> </w:t>
      </w:r>
      <w:r w:rsidR="00B43B73">
        <w:rPr>
          <w:rStyle w:val="Hervorhebung"/>
        </w:rPr>
        <w:t xml:space="preserve">Dazu sind die </w:t>
      </w:r>
      <w:r w:rsidR="00907612" w:rsidRPr="00975B2D">
        <w:rPr>
          <w:rStyle w:val="Hervorhebung"/>
        </w:rPr>
        <w:t xml:space="preserve">Ergebnisse im individuellen Qualifizierungs- und Eingliederungsplan dokumentiert </w:t>
      </w:r>
      <w:r w:rsidR="00094251" w:rsidRPr="00975B2D">
        <w:rPr>
          <w:rStyle w:val="Hervorhebung"/>
        </w:rPr>
        <w:t>(gilt auch für die nachfolgenden Punkte).</w:t>
      </w:r>
    </w:p>
    <w:p w14:paraId="70A6B298" w14:textId="0AB4E95E" w:rsidR="00A84011" w:rsidRDefault="00907612" w:rsidP="008F3C02">
      <w:pPr>
        <w:pStyle w:val="AufzhlungKstchenfrCL"/>
      </w:pPr>
      <w:r>
        <w:t xml:space="preserve">Die Teilnehmenden haben eine Vorstellung davon, was sie tun müssen, um ihre Ziele </w:t>
      </w:r>
      <w:r w:rsidR="00B43B73">
        <w:t xml:space="preserve">zu </w:t>
      </w:r>
      <w:r>
        <w:t>erreichen.</w:t>
      </w:r>
    </w:p>
    <w:p w14:paraId="461E6522" w14:textId="2F2B4B56" w:rsidR="00907612" w:rsidRDefault="00975B2D" w:rsidP="008F3C02">
      <w:pPr>
        <w:pStyle w:val="AufzhlungKstchenfrCL"/>
      </w:pPr>
      <w:r>
        <w:t>Die Teilnehmenden</w:t>
      </w:r>
      <w:r w:rsidR="00907612">
        <w:t xml:space="preserve"> haben Erwartungen formuliert, welche Unterstützungsleistungen sie </w:t>
      </w:r>
      <w:r w:rsidR="00FC6CDE">
        <w:t xml:space="preserve">im </w:t>
      </w:r>
      <w:r w:rsidR="00907612">
        <w:t xml:space="preserve">Rahmen der Bildungsmaßnahme </w:t>
      </w:r>
      <w:r w:rsidR="00094251">
        <w:t>erwarten bzw. erhalten</w:t>
      </w:r>
      <w:r w:rsidR="00907612">
        <w:t xml:space="preserve"> können.</w:t>
      </w:r>
    </w:p>
    <w:p w14:paraId="171AA332" w14:textId="1F088519" w:rsidR="00907612" w:rsidRDefault="00907612" w:rsidP="008F3C02">
      <w:pPr>
        <w:pStyle w:val="AufzhlungKstchenfrCL"/>
      </w:pPr>
      <w:r>
        <w:lastRenderedPageBreak/>
        <w:t xml:space="preserve">In der vorbereitenden Beratung sind förderliche und hinderliche Faktoren aus der Familie und aus dem sozialen Umfeld besprochen worden. </w:t>
      </w:r>
      <w:r w:rsidR="00094251">
        <w:t>Es besteht eine Vorstellung, wie mit den behindernden Wirkungen umgegangen werden soll.</w:t>
      </w:r>
    </w:p>
    <w:p w14:paraId="73F36078" w14:textId="6F37BEB6" w:rsidR="00A84011" w:rsidRDefault="00094251" w:rsidP="008F3C02">
      <w:pPr>
        <w:pStyle w:val="AufzhlungKstchenfrCL"/>
      </w:pPr>
      <w:r>
        <w:t>Im Vorfeld der Bildungsmaßnahmen sind die Auswirkungen auf das Familieneinkommen besprochen worden. Negative Auswirkungen sind benannt worden. Gegenmaßnahmen sind eingeleitet worden.</w:t>
      </w:r>
    </w:p>
    <w:p w14:paraId="6E410372" w14:textId="77777777" w:rsidR="00FC6CDE" w:rsidRPr="00A84011" w:rsidRDefault="00FC6CDE" w:rsidP="00FC6CDE">
      <w:pPr>
        <w:pStyle w:val="AufzhlungKstchenfrCL"/>
        <w:numPr>
          <w:ilvl w:val="0"/>
          <w:numId w:val="0"/>
        </w:numPr>
        <w:spacing w:after="0" w:line="240" w:lineRule="auto"/>
        <w:ind w:left="851"/>
      </w:pPr>
    </w:p>
    <w:p w14:paraId="5AC8DB58" w14:textId="77777777" w:rsidR="00876ABD" w:rsidRDefault="00876ABD" w:rsidP="00FC6CDE">
      <w:pPr>
        <w:pStyle w:val="Zwischenberschrift"/>
      </w:pPr>
      <w:r>
        <w:t>Durchführung der Bildungsmaßnahme</w:t>
      </w:r>
    </w:p>
    <w:p w14:paraId="6693B3A1" w14:textId="4EB24D70" w:rsidR="002E324C" w:rsidRDefault="00094251" w:rsidP="008F3C02">
      <w:pPr>
        <w:pStyle w:val="AufzhlungKstchenfrCL"/>
      </w:pPr>
      <w:r>
        <w:t xml:space="preserve">Die </w:t>
      </w:r>
      <w:r w:rsidR="002E324C">
        <w:t>Unterrichtszeiten</w:t>
      </w:r>
      <w:r>
        <w:t xml:space="preserve"> sind auf die Betreuungszeiten von Kindertagesstätten und Schulen abgestimmt. </w:t>
      </w:r>
      <w:r w:rsidR="002E324C">
        <w:t>Väter und Mütter kö</w:t>
      </w:r>
      <w:r w:rsidR="00FC6CDE">
        <w:t>nnen ihre Kinder vor der Schule/</w:t>
      </w:r>
      <w:r w:rsidR="002E324C">
        <w:t>Kita und danach betreuen.</w:t>
      </w:r>
    </w:p>
    <w:p w14:paraId="4B5F2092" w14:textId="26E0393E" w:rsidR="002E324C" w:rsidRDefault="002E324C" w:rsidP="008F3C02">
      <w:pPr>
        <w:pStyle w:val="AufzhlungKstchenfrCL"/>
      </w:pPr>
      <w:r>
        <w:t>Wenn Betreuungslücken existieren, wurden dafür Lösungen gefunden (innerfamiliär oder durch zusätzliche Betreuungsleistungen).</w:t>
      </w:r>
    </w:p>
    <w:p w14:paraId="1B716F43" w14:textId="77777777" w:rsidR="002E324C" w:rsidRDefault="002E324C" w:rsidP="008F3C02">
      <w:pPr>
        <w:pStyle w:val="AufzhlungKstchenfrCL"/>
      </w:pPr>
      <w:r>
        <w:t>Mögliche bzw. notwendige Veränderungen im familiären Ablauf wurden eingeleitet (z. B. Anmeldung der Kinder zum Mensaessen, Beantragung von Leistungen nach dem Bildungs- und Teilhabegesetz).</w:t>
      </w:r>
    </w:p>
    <w:p w14:paraId="16F1A762" w14:textId="492D794A" w:rsidR="00B43B73" w:rsidRDefault="00B43B73" w:rsidP="00B43B73">
      <w:pPr>
        <w:pStyle w:val="AufzhlungKstchenfrCL"/>
      </w:pPr>
      <w:r>
        <w:t>Manche Aufgaben in der Familie, die nicht unbedingt der Lernende erledigen muss, wurden auf andere Familienmitglieder verteilt.</w:t>
      </w:r>
    </w:p>
    <w:p w14:paraId="69C6183B" w14:textId="6E459E21" w:rsidR="002E324C" w:rsidRDefault="002E324C" w:rsidP="008F3C02">
      <w:pPr>
        <w:pStyle w:val="AufzhlungKstchenfrCL"/>
      </w:pPr>
      <w:r>
        <w:t xml:space="preserve">Die Lernorganisation der Maßnahme bietet flexible Lernzeiten (z. B. Wochenplanarbeit in der ersten halben Stunde, so dass notwendige Verspätungen keine Nachteile haben; </w:t>
      </w:r>
      <w:r w:rsidR="00B43B73">
        <w:t>i</w:t>
      </w:r>
      <w:r>
        <w:t xml:space="preserve">ndividuelle und Gruppenlernphasen am </w:t>
      </w:r>
      <w:r w:rsidR="000910FA">
        <w:t>Ende</w:t>
      </w:r>
      <w:r w:rsidR="00B43B73">
        <w:t>, so dass jeder teilnehmen kann</w:t>
      </w:r>
      <w:r w:rsidR="000910FA">
        <w:t>).</w:t>
      </w:r>
    </w:p>
    <w:p w14:paraId="1D0BF8E3" w14:textId="77777777" w:rsidR="00B43B73" w:rsidRDefault="00B43B73" w:rsidP="00B43B73">
      <w:pPr>
        <w:pStyle w:val="AufzhlungKstchenfrCL"/>
      </w:pPr>
      <w:r>
        <w:t xml:space="preserve">Es gibt ein Lernportal, auf das die Teilnehmenden jederzeit Zugriff haben. </w:t>
      </w:r>
    </w:p>
    <w:p w14:paraId="236EFA28" w14:textId="77777777" w:rsidR="00B43B73" w:rsidRDefault="00B43B73" w:rsidP="00B43B73">
      <w:pPr>
        <w:pStyle w:val="AufzhlungKstchenfrCL"/>
      </w:pPr>
      <w:r>
        <w:t xml:space="preserve">Die einzelnen Lernenden haben einen Wochenplan, in dem individuelle Lernzeiten außerhalb des Kurses enthalten sind. </w:t>
      </w:r>
    </w:p>
    <w:p w14:paraId="6F9C86CB" w14:textId="7FD05976" w:rsidR="000910FA" w:rsidRDefault="000910FA" w:rsidP="008F3C02">
      <w:pPr>
        <w:pStyle w:val="AufzhlungKstchenfrCL"/>
      </w:pPr>
      <w:r>
        <w:lastRenderedPageBreak/>
        <w:t>Es gibt Aufgaben zur Vor- und Nachbereitung, die individuell bearbeitet werden können, auch außerhalb der Kurszeiten.</w:t>
      </w:r>
    </w:p>
    <w:p w14:paraId="3CACE23B" w14:textId="77777777" w:rsidR="000964BB" w:rsidRDefault="000964BB" w:rsidP="008F3C02">
      <w:pPr>
        <w:pStyle w:val="AufzhlungKstchenfrCL"/>
      </w:pPr>
      <w:r>
        <w:t xml:space="preserve">An der Lebenswelt der Lernenden orientierte Themen und Aufgaben sind im Curriculum enthalten. </w:t>
      </w:r>
    </w:p>
    <w:p w14:paraId="514577CC" w14:textId="77777777" w:rsidR="00B43B73" w:rsidRDefault="00B43B73" w:rsidP="00B43B73">
      <w:pPr>
        <w:pStyle w:val="AufzhlungKstchenfrCL"/>
      </w:pPr>
      <w:r>
        <w:t xml:space="preserve">Die fachlichen Themen enthalten Bezüge zu den Alltagserfahrungen der Teilnehmenden. </w:t>
      </w:r>
    </w:p>
    <w:p w14:paraId="596D2454" w14:textId="77777777" w:rsidR="00B43B73" w:rsidRDefault="00B43B73" w:rsidP="00B43B73">
      <w:pPr>
        <w:pStyle w:val="AufzhlungKstchenfrCL"/>
      </w:pPr>
      <w:r>
        <w:t xml:space="preserve">Finanzielle Themen sind ins Curriculum integriert. </w:t>
      </w:r>
    </w:p>
    <w:p w14:paraId="4B178C4C" w14:textId="77777777" w:rsidR="00B43B73" w:rsidRDefault="00B43B73" w:rsidP="00B43B73">
      <w:pPr>
        <w:pStyle w:val="AufzhlungKstchenfrCL"/>
      </w:pPr>
      <w:r>
        <w:t>Themen der Gesundheitsförderung</w:t>
      </w:r>
      <w:r w:rsidRPr="00221682">
        <w:t xml:space="preserve"> </w:t>
      </w:r>
      <w:r>
        <w:t>sind ins Curriculum integriert.</w:t>
      </w:r>
    </w:p>
    <w:p w14:paraId="4F6FCBF2" w14:textId="6F57DA6E" w:rsidR="000964BB" w:rsidRDefault="000964BB" w:rsidP="008F3C02">
      <w:pPr>
        <w:pStyle w:val="AufzhlungKstchenfrCL"/>
      </w:pPr>
      <w:r>
        <w:t>Es gibt Zeit und Raum für den Austausch von Themen und Erfahrungen aus dem familiären und sozialen Umfeld.</w:t>
      </w:r>
    </w:p>
    <w:p w14:paraId="4CC9FF2B" w14:textId="77777777" w:rsidR="00221682" w:rsidRDefault="00221682" w:rsidP="00221682">
      <w:pPr>
        <w:pStyle w:val="AufzhlungPunkte"/>
        <w:numPr>
          <w:ilvl w:val="0"/>
          <w:numId w:val="0"/>
        </w:numPr>
        <w:ind w:left="720"/>
      </w:pPr>
    </w:p>
    <w:p w14:paraId="7C4EE6F7" w14:textId="77777777" w:rsidR="000964BB" w:rsidRPr="008F3C02" w:rsidRDefault="000964BB" w:rsidP="000964BB">
      <w:pPr>
        <w:rPr>
          <w:rFonts w:ascii="Arial" w:hAnsi="Arial" w:cs="Arial"/>
          <w:i/>
          <w:sz w:val="24"/>
          <w:lang w:val="en-US"/>
        </w:rPr>
      </w:pPr>
      <w:r w:rsidRPr="008F3C02">
        <w:rPr>
          <w:rFonts w:ascii="Arial" w:hAnsi="Arial" w:cs="Arial"/>
          <w:i/>
          <w:sz w:val="24"/>
          <w:lang w:val="en-US"/>
        </w:rPr>
        <w:t xml:space="preserve">CC BY SA 3.0 by </w:t>
      </w:r>
      <w:r w:rsidRPr="00FC6CDE">
        <w:rPr>
          <w:rFonts w:ascii="Arial" w:hAnsi="Arial" w:cs="Arial"/>
          <w:b/>
          <w:i/>
          <w:sz w:val="24"/>
          <w:lang w:val="en-US"/>
        </w:rPr>
        <w:t>Christoph Eckhardt</w:t>
      </w:r>
      <w:r w:rsidRPr="008F3C02">
        <w:rPr>
          <w:rFonts w:ascii="Arial" w:hAnsi="Arial" w:cs="Arial"/>
          <w:i/>
          <w:sz w:val="24"/>
          <w:lang w:val="en-US"/>
        </w:rPr>
        <w:t xml:space="preserve"> für wb-web</w:t>
      </w:r>
    </w:p>
    <w:sectPr w:rsidR="000964BB" w:rsidRPr="008F3C02" w:rsidSect="00FD3A72">
      <w:headerReference w:type="default" r:id="rId11"/>
      <w:footerReference w:type="default" r:id="rId12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AC6F" w14:textId="77777777" w:rsidR="00882B00" w:rsidRDefault="00882B00" w:rsidP="00014AE4">
      <w:pPr>
        <w:spacing w:after="0" w:line="240" w:lineRule="auto"/>
      </w:pPr>
      <w:r>
        <w:separator/>
      </w:r>
    </w:p>
  </w:endnote>
  <w:endnote w:type="continuationSeparator" w:id="0">
    <w:p w14:paraId="787AFBCC" w14:textId="77777777" w:rsidR="00882B00" w:rsidRDefault="00882B00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3AD7" w14:textId="77777777" w:rsidR="0061648F" w:rsidRDefault="005C0361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1E8327C9" wp14:editId="42E662FA">
          <wp:simplePos x="0" y="0"/>
          <wp:positionH relativeFrom="margin">
            <wp:posOffset>0</wp:posOffset>
          </wp:positionH>
          <wp:positionV relativeFrom="margin">
            <wp:posOffset>8009255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7640CA" w14:textId="77777777"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3EA07ACC" w14:textId="77777777" w:rsidR="0061648F" w:rsidRDefault="0061648F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013BAEA3" w14:textId="69A76201" w:rsidR="00FC6CDE" w:rsidRPr="00DB4FF9" w:rsidRDefault="00FC6CDE" w:rsidP="00FC6CD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>. Um eine Kopie dieser Lizenz zu sehen, besuchen Sie</w:t>
    </w:r>
    <w:r>
      <w:rPr>
        <w:rFonts w:ascii="Arial" w:hAnsi="Arial" w:cs="Arial"/>
        <w:color w:val="333333"/>
        <w:sz w:val="16"/>
        <w:szCs w:val="16"/>
      </w:rPr>
      <w:t xml:space="preserve"> </w:t>
    </w:r>
    <w:hyperlink r:id="rId2" w:history="1">
      <w:r w:rsidRPr="008D6725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F8F9A" w14:textId="77777777" w:rsidR="00882B00" w:rsidRDefault="00882B00" w:rsidP="00014AE4">
      <w:pPr>
        <w:spacing w:after="0" w:line="240" w:lineRule="auto"/>
      </w:pPr>
      <w:r>
        <w:separator/>
      </w:r>
    </w:p>
  </w:footnote>
  <w:footnote w:type="continuationSeparator" w:id="0">
    <w:p w14:paraId="186B7928" w14:textId="77777777" w:rsidR="00882B00" w:rsidRDefault="00882B00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15326" w14:textId="2584B8C0" w:rsidR="0061648F" w:rsidRDefault="00B70D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2A679306" wp14:editId="62802658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B04AB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4BDDA6" wp14:editId="703E6A66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36957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F9A76" w14:textId="77777777" w:rsidR="0061648F" w:rsidRPr="00AC2223" w:rsidRDefault="0061648F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4BDDA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29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" stroked="f">
              <v:textbox style="mso-fit-shape-to-text:t">
                <w:txbxContent>
                  <w:p w14:paraId="3A1F9A76" w14:textId="77777777" w:rsidR="0061648F" w:rsidRPr="00AC2223" w:rsidRDefault="0061648F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04F8FC32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46B89"/>
    <w:rsid w:val="000910FA"/>
    <w:rsid w:val="00094251"/>
    <w:rsid w:val="000964BB"/>
    <w:rsid w:val="000A44F1"/>
    <w:rsid w:val="000C6BAB"/>
    <w:rsid w:val="000E4BEB"/>
    <w:rsid w:val="000E5A0E"/>
    <w:rsid w:val="0017476E"/>
    <w:rsid w:val="00206FAA"/>
    <w:rsid w:val="00221682"/>
    <w:rsid w:val="0022296F"/>
    <w:rsid w:val="00241EA0"/>
    <w:rsid w:val="002C6F83"/>
    <w:rsid w:val="002E324C"/>
    <w:rsid w:val="00333725"/>
    <w:rsid w:val="004328CA"/>
    <w:rsid w:val="0048036C"/>
    <w:rsid w:val="004A33CC"/>
    <w:rsid w:val="004B0214"/>
    <w:rsid w:val="004E70BF"/>
    <w:rsid w:val="00506977"/>
    <w:rsid w:val="00527C57"/>
    <w:rsid w:val="00574BEB"/>
    <w:rsid w:val="005A2007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76ABD"/>
    <w:rsid w:val="00882B00"/>
    <w:rsid w:val="008C1D48"/>
    <w:rsid w:val="008F3C02"/>
    <w:rsid w:val="00907612"/>
    <w:rsid w:val="00913C77"/>
    <w:rsid w:val="0095483E"/>
    <w:rsid w:val="00975B2D"/>
    <w:rsid w:val="00A10521"/>
    <w:rsid w:val="00A651A5"/>
    <w:rsid w:val="00A7652F"/>
    <w:rsid w:val="00A84011"/>
    <w:rsid w:val="00AC2223"/>
    <w:rsid w:val="00B003E6"/>
    <w:rsid w:val="00B01655"/>
    <w:rsid w:val="00B11ED0"/>
    <w:rsid w:val="00B27E74"/>
    <w:rsid w:val="00B43B73"/>
    <w:rsid w:val="00B70DAA"/>
    <w:rsid w:val="00BC2391"/>
    <w:rsid w:val="00BD167A"/>
    <w:rsid w:val="00C07190"/>
    <w:rsid w:val="00C3075E"/>
    <w:rsid w:val="00C675B9"/>
    <w:rsid w:val="00C93D17"/>
    <w:rsid w:val="00D17A67"/>
    <w:rsid w:val="00D60BE1"/>
    <w:rsid w:val="00DB4FF9"/>
    <w:rsid w:val="00E056E0"/>
    <w:rsid w:val="00E53294"/>
    <w:rsid w:val="00E5546C"/>
    <w:rsid w:val="00E678F7"/>
    <w:rsid w:val="00E84DD0"/>
    <w:rsid w:val="00EB04AB"/>
    <w:rsid w:val="00ED0DBD"/>
    <w:rsid w:val="00ED65AA"/>
    <w:rsid w:val="00F822AC"/>
    <w:rsid w:val="00FC6CDE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0872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6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B003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00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/>
      <w:bdr w:val="nil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6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de-DE"/>
    </w:rPr>
  </w:style>
  <w:style w:type="character" w:styleId="Hervorhebung">
    <w:name w:val="Emphasis"/>
    <w:basedOn w:val="Absatz-Standardschriftart"/>
    <w:uiPriority w:val="20"/>
    <w:qFormat/>
    <w:rsid w:val="00975B2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FC6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63401D27E4D43A047BC838BA30F98" ma:contentTypeVersion="0" ma:contentTypeDescription="Ein neues Dokument erstellen." ma:contentTypeScope="" ma:versionID="364a0ee850e8eb2e41905f96cbbd5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0698-5D67-4D11-80BF-D43449DEB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DE2FE-06B0-45D6-A965-4632B5C8195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685EA8-F0DF-4BD0-8445-15D26C97B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B442D7-104D-423E-A71E-A9BD5CBE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90AB484E</Template>
  <TotalTime>0</TotalTime>
  <Pages>3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Gundermann, Angelika</cp:lastModifiedBy>
  <cp:revision>2</cp:revision>
  <cp:lastPrinted>2015-10-16T10:30:00Z</cp:lastPrinted>
  <dcterms:created xsi:type="dcterms:W3CDTF">2016-10-17T08:37:00Z</dcterms:created>
  <dcterms:modified xsi:type="dcterms:W3CDTF">2016-10-17T08:37:00Z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0x0101001E663401D27E4D43A047BC838BA30F98</vt:lpwstr>
  </property>
</Properties>
</file>