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0FF9" w14:textId="77777777" w:rsidR="000D0AB6" w:rsidRPr="00C10517" w:rsidRDefault="002C3DBF" w:rsidP="000D0AB6">
      <w:pPr>
        <w:pStyle w:val="Materialtyp1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D249276" wp14:editId="4F137D20">
                <wp:simplePos x="0" y="0"/>
                <wp:positionH relativeFrom="margin">
                  <wp:align>left</wp:align>
                </wp:positionH>
                <wp:positionV relativeFrom="paragraph">
                  <wp:posOffset>-677545</wp:posOffset>
                </wp:positionV>
                <wp:extent cx="1788160" cy="5527040"/>
                <wp:effectExtent l="0" t="2540" r="0" b="0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88160" cy="5527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14:paraId="34BA34A8" w14:textId="77777777" w:rsidR="008D087E" w:rsidRPr="008D087E" w:rsidRDefault="008D087E" w:rsidP="002C3DBF">
                            <w:pPr>
                              <w:pStyle w:val="Default"/>
                              <w:spacing w:before="200" w:line="276" w:lineRule="auto"/>
                              <w:rPr>
                                <w:color w:val="auto"/>
                              </w:rPr>
                            </w:pPr>
                            <w:r w:rsidRPr="008D087E">
                              <w:rPr>
                                <w:b/>
                                <w:bCs/>
                                <w:color w:val="auto"/>
                              </w:rPr>
                              <w:t xml:space="preserve">Ziel: </w:t>
                            </w:r>
                            <w:r w:rsidRPr="008D087E">
                              <w:rPr>
                                <w:color w:val="auto"/>
                              </w:rPr>
                              <w:t xml:space="preserve">Kennenlernen der CC-Lizenzen und ihrer Symbole </w:t>
                            </w:r>
                          </w:p>
                          <w:p w14:paraId="6682D9A2" w14:textId="77777777" w:rsidR="008D087E" w:rsidRPr="008D087E" w:rsidRDefault="008D087E" w:rsidP="002C3DBF">
                            <w:pPr>
                              <w:pStyle w:val="Default"/>
                              <w:spacing w:before="200" w:line="276" w:lineRule="auto"/>
                              <w:rPr>
                                <w:color w:val="auto"/>
                              </w:rPr>
                            </w:pPr>
                            <w:r w:rsidRPr="008D087E">
                              <w:rPr>
                                <w:b/>
                                <w:bCs/>
                                <w:color w:val="auto"/>
                              </w:rPr>
                              <w:t xml:space="preserve">Benötigtes Material: </w:t>
                            </w:r>
                            <w:r w:rsidRPr="008D087E">
                              <w:rPr>
                                <w:color w:val="auto"/>
                              </w:rPr>
                              <w:t>Ausdrucke der „Bingo-Scheine“, Umschlag oder Säckchen gefüllt mit Symbolkarten, Plättchen (Chips) zum Abdecken der Bingo-Scheine.</w:t>
                            </w:r>
                          </w:p>
                          <w:p w14:paraId="44E41C6E" w14:textId="77777777" w:rsidR="008D087E" w:rsidRPr="008D087E" w:rsidRDefault="008D087E" w:rsidP="002C3DBF">
                            <w:pPr>
                              <w:spacing w:before="200" w:after="0"/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D087E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Dauer: </w:t>
                            </w:r>
                            <w:r w:rsidRPr="008D087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5–15 Min.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49276" id="AutoForm 2" o:spid="_x0000_s1026" style="position:absolute;margin-left:0;margin-top:-53.35pt;width:140.8pt;height:435.2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" o:allowincell="f" fillcolor="#c2d69b [1942]" stroked="f">
                <v:textbox>
                  <w:txbxContent>
                    <w:p w14:paraId="34BA34A8" w14:textId="77777777" w:rsidR="008D087E" w:rsidRPr="008D087E" w:rsidRDefault="008D087E" w:rsidP="002C3DBF">
                      <w:pPr>
                        <w:pStyle w:val="Default"/>
                        <w:spacing w:before="200" w:line="276" w:lineRule="auto"/>
                        <w:rPr>
                          <w:color w:val="auto"/>
                        </w:rPr>
                      </w:pPr>
                      <w:r w:rsidRPr="008D087E">
                        <w:rPr>
                          <w:b/>
                          <w:bCs/>
                          <w:color w:val="auto"/>
                        </w:rPr>
                        <w:t xml:space="preserve">Ziel: </w:t>
                      </w:r>
                      <w:r w:rsidRPr="008D087E">
                        <w:rPr>
                          <w:color w:val="auto"/>
                        </w:rPr>
                        <w:t xml:space="preserve">Kennenlernen der CC-Lizenzen und ihrer Symbole </w:t>
                      </w:r>
                    </w:p>
                    <w:p w14:paraId="6682D9A2" w14:textId="77777777" w:rsidR="008D087E" w:rsidRPr="008D087E" w:rsidRDefault="008D087E" w:rsidP="002C3DBF">
                      <w:pPr>
                        <w:pStyle w:val="Default"/>
                        <w:spacing w:before="200" w:line="276" w:lineRule="auto"/>
                        <w:rPr>
                          <w:color w:val="auto"/>
                        </w:rPr>
                      </w:pPr>
                      <w:r w:rsidRPr="008D087E">
                        <w:rPr>
                          <w:b/>
                          <w:bCs/>
                          <w:color w:val="auto"/>
                        </w:rPr>
                        <w:t xml:space="preserve">Benötigtes Material: </w:t>
                      </w:r>
                      <w:r w:rsidRPr="008D087E">
                        <w:rPr>
                          <w:color w:val="auto"/>
                        </w:rPr>
                        <w:t>Ausdrucke der „Bingo-Scheine“, Umschlag oder Säckchen gefüllt mit Symbolkarten, Plättchen (Chips) zum Abdecken der Bingo-Scheine.</w:t>
                      </w:r>
                    </w:p>
                    <w:p w14:paraId="44E41C6E" w14:textId="77777777" w:rsidR="008D087E" w:rsidRPr="008D087E" w:rsidRDefault="008D087E" w:rsidP="002C3DBF">
                      <w:pPr>
                        <w:spacing w:before="200" w:after="0"/>
                        <w:rPr>
                          <w:rFonts w:ascii="Arial" w:eastAsiaTheme="majorEastAsia" w:hAnsi="Arial" w:cs="Arial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8D087E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Dauer: </w:t>
                      </w:r>
                      <w:r w:rsidRPr="008D087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5–15 Min.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D0AB6">
        <w:t xml:space="preserve">Handlungsanleitung </w:t>
      </w:r>
    </w:p>
    <w:p w14:paraId="12C0BF3E" w14:textId="77777777" w:rsidR="000D0AB6" w:rsidRPr="000E5A0E" w:rsidRDefault="009A1BD6" w:rsidP="000D0AB6">
      <w:pPr>
        <w:pStyle w:val="Headline"/>
      </w:pPr>
      <w:r>
        <w:t>CC-Bingo</w:t>
      </w:r>
    </w:p>
    <w:p w14:paraId="077563B3" w14:textId="4EB32EC1" w:rsidR="000D0AB6" w:rsidRDefault="004123CD" w:rsidP="000D0AB6">
      <w:pPr>
        <w:pStyle w:val="Teaser"/>
      </w:pPr>
      <w:r>
        <w:t>Mit dem Spieleklassiker die C</w:t>
      </w:r>
      <w:r w:rsidR="008D087E">
        <w:t>reative-Commons</w:t>
      </w:r>
      <w:r>
        <w:t>-Lizenzen und ihre Symbole kennenlernen</w:t>
      </w:r>
    </w:p>
    <w:p w14:paraId="3D7E8A04" w14:textId="77777777" w:rsidR="002C3DBF" w:rsidRPr="0095483E" w:rsidRDefault="002C3DBF" w:rsidP="000D0AB6">
      <w:pPr>
        <w:pStyle w:val="Teaser"/>
      </w:pPr>
    </w:p>
    <w:p w14:paraId="3A8199F0" w14:textId="1184A6FD" w:rsidR="00A02C79" w:rsidRDefault="002C3DBF" w:rsidP="002C3DBF">
      <w:pPr>
        <w:pStyle w:val="AufzhlungPunkte"/>
        <w:numPr>
          <w:ilvl w:val="0"/>
          <w:numId w:val="0"/>
        </w:numPr>
      </w:pPr>
      <w:r>
        <w:t>Grundlegend ist</w:t>
      </w:r>
      <w:r w:rsidR="008F0E77">
        <w:t xml:space="preserve"> es</w:t>
      </w:r>
      <w:r>
        <w:t xml:space="preserve">, </w:t>
      </w:r>
      <w:r w:rsidR="008F0E77">
        <w:t xml:space="preserve">dass jeder Mitspieler/ jede Mitspielerin </w:t>
      </w:r>
      <w:r>
        <w:t xml:space="preserve">einen Bingo-Schein </w:t>
      </w:r>
      <w:r w:rsidR="008F0E77">
        <w:t>b</w:t>
      </w:r>
      <w:r>
        <w:t>esitz</w:t>
      </w:r>
      <w:r w:rsidR="008F0E77">
        <w:t>t</w:t>
      </w:r>
      <w:r>
        <w:t xml:space="preserve"> und </w:t>
      </w:r>
      <w:r w:rsidR="008F0E77">
        <w:t xml:space="preserve">diese </w:t>
      </w:r>
      <w:r>
        <w:t>die Symbole der CC-Li</w:t>
      </w:r>
      <w:r w:rsidR="008F0E77">
        <w:t>zenzen einmal erklärt bekommen</w:t>
      </w:r>
      <w:r>
        <w:t xml:space="preserve"> </w:t>
      </w:r>
      <w:r w:rsidR="00AB5F5C">
        <w:t>hat</w:t>
      </w:r>
      <w:r>
        <w:t xml:space="preserve">. Alles Weitere ergibt sich im Laufe des Spiels. </w:t>
      </w:r>
    </w:p>
    <w:p w14:paraId="18FB67E7" w14:textId="2906F25B" w:rsidR="00A02C79" w:rsidRDefault="00A02C79" w:rsidP="002C3DBF">
      <w:pPr>
        <w:pStyle w:val="AufzhlungPunkte"/>
        <w:numPr>
          <w:ilvl w:val="0"/>
          <w:numId w:val="0"/>
        </w:numPr>
      </w:pPr>
      <w:r>
        <w:t xml:space="preserve">Alle Bingo-Scheine enthalten alle </w:t>
      </w:r>
      <w:r w:rsidR="00AB5F5C">
        <w:t>CC-</w:t>
      </w:r>
      <w:r>
        <w:t xml:space="preserve">Symbole, die auch als </w:t>
      </w:r>
      <w:r w:rsidR="00AB5F5C">
        <w:t xml:space="preserve">Karten </w:t>
      </w:r>
      <w:r>
        <w:t>aus dem Umschlag</w:t>
      </w:r>
      <w:r w:rsidR="00AB5F5C">
        <w:t>/Säckchen</w:t>
      </w:r>
      <w:r>
        <w:t xml:space="preserve"> gezogen werden. Dabei sind auf jedem Bingo-Schein die Symbole anders angeordnet.</w:t>
      </w:r>
      <w:r w:rsidR="008F0E77">
        <w:t xml:space="preserve"> Jeder Mitspieler/Jede Mitspielerin erhält ausreichend Plättchen (Chips) um alle Felder auf dem Bingo-Schein abdecken zu können. (Die Plättchen können auch mit den Symbolen bedruckt sein.)</w:t>
      </w:r>
      <w:r w:rsidR="00990271">
        <w:t xml:space="preserve"> Alternativ können die Symbole auch  mit einem Stift markiert werden. Dann benötigt man für jede </w:t>
      </w:r>
      <w:r w:rsidR="00DE7862">
        <w:t>Spielr</w:t>
      </w:r>
      <w:r w:rsidR="00990271">
        <w:t>unde neue Ausdrucke.</w:t>
      </w:r>
      <w:r w:rsidR="00DE7862">
        <w:t xml:space="preserve"> Nachhaltiger ist die Verwendung wiederverwendbare</w:t>
      </w:r>
      <w:r w:rsidR="00AB5F5C">
        <w:t>r</w:t>
      </w:r>
      <w:r w:rsidR="00DE7862">
        <w:t>, laminierte</w:t>
      </w:r>
      <w:r w:rsidR="00AB5F5C">
        <w:t>r</w:t>
      </w:r>
      <w:r w:rsidR="00DE7862">
        <w:t xml:space="preserve"> Ausdrucke und Plättchen.</w:t>
      </w:r>
    </w:p>
    <w:p w14:paraId="7FCDC8FA" w14:textId="5B10E1F4" w:rsidR="00C12960" w:rsidRDefault="00A02C79" w:rsidP="002C3DBF">
      <w:pPr>
        <w:pStyle w:val="AufzhlungPunkte"/>
        <w:numPr>
          <w:ilvl w:val="0"/>
          <w:numId w:val="0"/>
        </w:numPr>
      </w:pPr>
      <w:r>
        <w:t xml:space="preserve">Zieht </w:t>
      </w:r>
      <w:r w:rsidR="00AB5F5C">
        <w:t>die Spielleitung</w:t>
      </w:r>
      <w:r>
        <w:t xml:space="preserve"> eine Karte aus dem Umschlag, hält </w:t>
      </w:r>
      <w:r w:rsidR="00AB5F5C">
        <w:t xml:space="preserve">sie </w:t>
      </w:r>
      <w:r>
        <w:t>das Symbol verdeckt und gibt den Mitspielern/Mitspielerinnen lediglich die Beschreibung durch, beispielsweise „Namensnennung“.</w:t>
      </w:r>
      <w:r w:rsidR="00C12960">
        <w:t xml:space="preserve"> Die Teilnehmenden bedecken auf ihrem Bingo-Schein das Kästchen mit dem Symbol, welches sie dieser Beschreibung zuordnen</w:t>
      </w:r>
      <w:r w:rsidR="007F3C18">
        <w:t>, mit ihren Plättchen</w:t>
      </w:r>
      <w:r w:rsidR="00AB5F5C">
        <w:t xml:space="preserve"> (</w:t>
      </w:r>
      <w:r w:rsidR="007F3C18">
        <w:t>Chips</w:t>
      </w:r>
      <w:r w:rsidR="00AB5F5C">
        <w:t>)</w:t>
      </w:r>
      <w:r w:rsidR="00C12960">
        <w:t xml:space="preserve">. </w:t>
      </w:r>
      <w:r w:rsidR="00AB5F5C">
        <w:t>Die Spielleitung</w:t>
      </w:r>
      <w:r w:rsidR="00C12960">
        <w:t xml:space="preserve"> legt </w:t>
      </w:r>
      <w:r w:rsidR="00AB5F5C">
        <w:t xml:space="preserve">ihre </w:t>
      </w:r>
      <w:r w:rsidR="00C12960">
        <w:t xml:space="preserve">Karte mit dem Symbol verdeckt vor sich ab. </w:t>
      </w:r>
    </w:p>
    <w:p w14:paraId="14A42AA4" w14:textId="31B94347" w:rsidR="00A02C79" w:rsidRDefault="00C12960" w:rsidP="002C3DBF">
      <w:pPr>
        <w:pStyle w:val="AufzhlungPunkte"/>
        <w:numPr>
          <w:ilvl w:val="0"/>
          <w:numId w:val="0"/>
        </w:numPr>
      </w:pPr>
      <w:r>
        <w:t>Erst, wenn ein Mitspieler/ eine Mitspielerin mit einem „Bingo</w:t>
      </w:r>
      <w:r w:rsidR="00AB5F5C">
        <w:t>“</w:t>
      </w:r>
      <w:r>
        <w:t>-Ruf die Spielrunde beendet, deckt der Spielleiter seine Kärtchen auf und die Ergebnisse werden kontrolliert.</w:t>
      </w:r>
    </w:p>
    <w:p w14:paraId="790486F4" w14:textId="77777777" w:rsidR="00A02C79" w:rsidRDefault="00A02C79" w:rsidP="002C3DBF">
      <w:pPr>
        <w:pStyle w:val="AufzhlungPunkte"/>
        <w:numPr>
          <w:ilvl w:val="0"/>
          <w:numId w:val="0"/>
        </w:numPr>
      </w:pPr>
      <w:r>
        <w:t>Das Spiel besteht oft aus drei Spielrunden:</w:t>
      </w:r>
    </w:p>
    <w:p w14:paraId="3DBA3361" w14:textId="77777777" w:rsidR="00A02C79" w:rsidRDefault="00A02C79" w:rsidP="008F0E77">
      <w:pPr>
        <w:pStyle w:val="AufzhlungPunkte"/>
        <w:numPr>
          <w:ilvl w:val="0"/>
          <w:numId w:val="5"/>
        </w:numPr>
      </w:pPr>
      <w:r>
        <w:t xml:space="preserve">In </w:t>
      </w:r>
      <w:r w:rsidR="007F3C18">
        <w:t>der ersten</w:t>
      </w:r>
      <w:r>
        <w:t xml:space="preserve"> Runde werden so lange aus einem Umschlag bzw. Säckchen Symbolkarten gezogen, bis ein Mitspieler bzw. eine Mitspielerin eine vertikale, horizontale oder diagonale Reihe vollständig abgedeckt hat. Der- oder diejenige ruft „Bingo“ und beendet mit diesem Ruf die Spielrunde.</w:t>
      </w:r>
    </w:p>
    <w:p w14:paraId="2B51EA14" w14:textId="77777777" w:rsidR="00A02C79" w:rsidRDefault="00A02C79" w:rsidP="008F0E77">
      <w:pPr>
        <w:pStyle w:val="AufzhlungPunkte"/>
        <w:numPr>
          <w:ilvl w:val="0"/>
          <w:numId w:val="5"/>
        </w:numPr>
      </w:pPr>
      <w:r>
        <w:t>In der zweiten Spielrunde müssen zum „Bingo“ zwei vollständige Reihen auf dem Bingo-Schein abgedeckt werden.</w:t>
      </w:r>
    </w:p>
    <w:p w14:paraId="008DD2F1" w14:textId="2B56DB61" w:rsidR="000A44F1" w:rsidRDefault="00A02C79" w:rsidP="008F0E77">
      <w:pPr>
        <w:pStyle w:val="AufzhlungPunkte"/>
        <w:numPr>
          <w:ilvl w:val="0"/>
          <w:numId w:val="5"/>
        </w:numPr>
      </w:pPr>
      <w:r>
        <w:t>In der dritten Runde</w:t>
      </w:r>
      <w:r w:rsidR="008F0E77">
        <w:t xml:space="preserve"> geht es um die Bedeckung aller Felder auf dem Bingo-Schein. Der „Bingo</w:t>
      </w:r>
      <w:r w:rsidR="00AB5F5C">
        <w:t>“</w:t>
      </w:r>
      <w:r w:rsidR="008F0E77">
        <w:t xml:space="preserve">-Ruf beendet die Runde. </w:t>
      </w:r>
    </w:p>
    <w:p w14:paraId="0C226DFF" w14:textId="77777777" w:rsidR="008F0E77" w:rsidRDefault="008F0E77" w:rsidP="008F0E77">
      <w:pPr>
        <w:pStyle w:val="AufzhlungPunkte"/>
        <w:numPr>
          <w:ilvl w:val="0"/>
          <w:numId w:val="0"/>
        </w:numPr>
      </w:pPr>
    </w:p>
    <w:p w14:paraId="1FE2807E" w14:textId="1244B735" w:rsidR="008F0E77" w:rsidRDefault="008F0E77" w:rsidP="008F0E77">
      <w:pPr>
        <w:pStyle w:val="AufzhlungPunkte"/>
        <w:numPr>
          <w:ilvl w:val="0"/>
          <w:numId w:val="0"/>
        </w:numPr>
      </w:pPr>
      <w:r>
        <w:t xml:space="preserve">Vorlagen für das CC-Bingo finden Sie </w:t>
      </w:r>
      <w:hyperlink r:id="rId8" w:history="1">
        <w:r w:rsidRPr="003D0F30">
          <w:rPr>
            <w:rStyle w:val="Hyperlink"/>
          </w:rPr>
          <w:t>hier</w:t>
        </w:r>
      </w:hyperlink>
      <w:r>
        <w:t xml:space="preserve"> unter einer CC-BY-</w:t>
      </w:r>
      <w:r w:rsidR="00975F68">
        <w:t>4.0</w:t>
      </w:r>
      <w:r w:rsidR="003D0F30">
        <w:t>-</w:t>
      </w:r>
      <w:r>
        <w:t xml:space="preserve">Lizenz. </w:t>
      </w:r>
    </w:p>
    <w:p w14:paraId="4F6825BC" w14:textId="77777777" w:rsidR="008F0E77" w:rsidRDefault="008F0E77" w:rsidP="008F0E77">
      <w:pPr>
        <w:pStyle w:val="AufzhlungPunkte"/>
        <w:numPr>
          <w:ilvl w:val="0"/>
          <w:numId w:val="0"/>
        </w:numPr>
      </w:pPr>
    </w:p>
    <w:p w14:paraId="697C6D78" w14:textId="77777777" w:rsidR="008F0E77" w:rsidRPr="00975F68" w:rsidRDefault="008F0E77" w:rsidP="008F0E77">
      <w:pPr>
        <w:pStyle w:val="AufzhlungPunkte"/>
        <w:numPr>
          <w:ilvl w:val="0"/>
          <w:numId w:val="0"/>
        </w:numPr>
        <w:rPr>
          <w:i/>
        </w:rPr>
      </w:pPr>
      <w:r w:rsidRPr="00975F68">
        <w:rPr>
          <w:i/>
        </w:rPr>
        <w:t xml:space="preserve">CC BY SA 3.0 by </w:t>
      </w:r>
      <w:r w:rsidRPr="00975F68">
        <w:rPr>
          <w:b/>
          <w:i/>
        </w:rPr>
        <w:t>Susanne Witt</w:t>
      </w:r>
      <w:r w:rsidRPr="00975F68">
        <w:rPr>
          <w:i/>
        </w:rPr>
        <w:t xml:space="preserve"> für wb-web</w:t>
      </w:r>
    </w:p>
    <w:p w14:paraId="65807C11" w14:textId="77777777" w:rsidR="008F0E77" w:rsidRPr="00975F68" w:rsidRDefault="008F0E77" w:rsidP="008F0E77">
      <w:pPr>
        <w:pStyle w:val="AufzhlungPunkte"/>
        <w:numPr>
          <w:ilvl w:val="0"/>
          <w:numId w:val="0"/>
        </w:numPr>
      </w:pPr>
      <w:bookmarkStart w:id="0" w:name="_GoBack"/>
      <w:bookmarkEnd w:id="0"/>
    </w:p>
    <w:sectPr w:rsidR="008F0E77" w:rsidRPr="00975F68" w:rsidSect="00FD3A72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563D7A" w16cid:durableId="20BDDEE1"/>
  <w16cid:commentId w16cid:paraId="5D8146BD" w16cid:durableId="20BDE045"/>
  <w16cid:commentId w16cid:paraId="43839D32" w16cid:durableId="20BDE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0244E" w14:textId="77777777" w:rsidR="008D087E" w:rsidRDefault="008D087E" w:rsidP="00014AE4">
      <w:pPr>
        <w:spacing w:after="0" w:line="240" w:lineRule="auto"/>
      </w:pPr>
      <w:r>
        <w:separator/>
      </w:r>
    </w:p>
  </w:endnote>
  <w:endnote w:type="continuationSeparator" w:id="0">
    <w:p w14:paraId="11BB3FA6" w14:textId="77777777" w:rsidR="008D087E" w:rsidRDefault="008D087E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1A77B" w14:textId="77777777" w:rsidR="008D087E" w:rsidRDefault="008D087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022E55D" w14:textId="77777777" w:rsidR="008D087E" w:rsidRDefault="008D087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75C5E5CB" w14:textId="77777777" w:rsidR="008D087E" w:rsidRDefault="008D087E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40D81C0" w14:textId="77777777" w:rsidR="008D087E" w:rsidRDefault="008D087E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43124D4E" wp14:editId="302C7611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553776E5" w14:textId="77777777" w:rsidR="008D087E" w:rsidRDefault="008D087E" w:rsidP="007E19A5">
    <w:pPr>
      <w:autoSpaceDE w:val="0"/>
      <w:autoSpaceDN w:val="0"/>
      <w:adjustRightInd w:val="0"/>
      <w:spacing w:after="0" w:line="240" w:lineRule="auto"/>
      <w:jc w:val="both"/>
    </w:pPr>
  </w:p>
  <w:p w14:paraId="4BD9085B" w14:textId="77777777" w:rsidR="008D087E" w:rsidRPr="00C51C8B" w:rsidRDefault="008D087E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03F70" w14:textId="77777777" w:rsidR="008D087E" w:rsidRDefault="008D087E" w:rsidP="00014AE4">
      <w:pPr>
        <w:spacing w:after="0" w:line="240" w:lineRule="auto"/>
      </w:pPr>
      <w:r>
        <w:separator/>
      </w:r>
    </w:p>
  </w:footnote>
  <w:footnote w:type="continuationSeparator" w:id="0">
    <w:p w14:paraId="308D3A7C" w14:textId="77777777" w:rsidR="008D087E" w:rsidRDefault="008D087E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DAD8F" w14:textId="77777777" w:rsidR="008D087E" w:rsidRDefault="008D087E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1461D6EF" wp14:editId="087F53E9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C2D741" wp14:editId="28C8A8A3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21D6FC6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FA4EC1" wp14:editId="01AC1E47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4490A" w14:textId="77777777" w:rsidR="008D087E" w:rsidRPr="00AC2223" w:rsidRDefault="008D087E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990271" w:rsidRPr="00AC2223" w:rsidRDefault="00990271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D94"/>
    <w:multiLevelType w:val="hybridMultilevel"/>
    <w:tmpl w:val="DCD21C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C3306"/>
    <w:multiLevelType w:val="multilevel"/>
    <w:tmpl w:val="7854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3EEB"/>
    <w:rsid w:val="00014AE4"/>
    <w:rsid w:val="000A44F1"/>
    <w:rsid w:val="000C6BAB"/>
    <w:rsid w:val="000D0AB6"/>
    <w:rsid w:val="000E4BEB"/>
    <w:rsid w:val="000E5A0E"/>
    <w:rsid w:val="00143071"/>
    <w:rsid w:val="0017476E"/>
    <w:rsid w:val="00206FAA"/>
    <w:rsid w:val="0022296F"/>
    <w:rsid w:val="002244F8"/>
    <w:rsid w:val="002C3DBF"/>
    <w:rsid w:val="00333725"/>
    <w:rsid w:val="003D0F30"/>
    <w:rsid w:val="004123CD"/>
    <w:rsid w:val="0048036C"/>
    <w:rsid w:val="004A33CC"/>
    <w:rsid w:val="00506977"/>
    <w:rsid w:val="00527C57"/>
    <w:rsid w:val="005323BE"/>
    <w:rsid w:val="005462A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7E19A5"/>
    <w:rsid w:val="007F3C18"/>
    <w:rsid w:val="00862F3E"/>
    <w:rsid w:val="008C1D48"/>
    <w:rsid w:val="008D087E"/>
    <w:rsid w:val="008F0E77"/>
    <w:rsid w:val="00913C77"/>
    <w:rsid w:val="0095483E"/>
    <w:rsid w:val="00975F68"/>
    <w:rsid w:val="00990271"/>
    <w:rsid w:val="009A1BD6"/>
    <w:rsid w:val="00A02C79"/>
    <w:rsid w:val="00A4490E"/>
    <w:rsid w:val="00A44C91"/>
    <w:rsid w:val="00A45928"/>
    <w:rsid w:val="00A651A5"/>
    <w:rsid w:val="00A7652F"/>
    <w:rsid w:val="00AB5F5C"/>
    <w:rsid w:val="00AC2223"/>
    <w:rsid w:val="00AD1C39"/>
    <w:rsid w:val="00B01655"/>
    <w:rsid w:val="00B11ED0"/>
    <w:rsid w:val="00B27E74"/>
    <w:rsid w:val="00B37840"/>
    <w:rsid w:val="00B70DAA"/>
    <w:rsid w:val="00BC2391"/>
    <w:rsid w:val="00BC7D80"/>
    <w:rsid w:val="00C07190"/>
    <w:rsid w:val="00C12960"/>
    <w:rsid w:val="00C3075E"/>
    <w:rsid w:val="00C51C8B"/>
    <w:rsid w:val="00C675B9"/>
    <w:rsid w:val="00C93D17"/>
    <w:rsid w:val="00CA33A1"/>
    <w:rsid w:val="00CE48FE"/>
    <w:rsid w:val="00D03664"/>
    <w:rsid w:val="00D17A67"/>
    <w:rsid w:val="00DB4FF9"/>
    <w:rsid w:val="00DE7862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DEDBE9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paragraph" w:customStyle="1" w:styleId="Default">
    <w:name w:val="Default"/>
    <w:rsid w:val="00412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5F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5F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5F5C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5F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5F5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-web.de/material/medien/cc-bingo.htm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ADAE-6B4F-4DB0-872E-DEA04D7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D8B00583.dotm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Witt, Susanne</cp:lastModifiedBy>
  <cp:revision>3</cp:revision>
  <cp:lastPrinted>2015-10-16T10:30:00Z</cp:lastPrinted>
  <dcterms:created xsi:type="dcterms:W3CDTF">2019-06-26T10:19:00Z</dcterms:created>
  <dcterms:modified xsi:type="dcterms:W3CDTF">2019-06-26T11:32:00Z</dcterms:modified>
</cp:coreProperties>
</file>