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1E" w:rsidRDefault="00C76E1E" w:rsidP="00C76E1E">
      <w:pPr>
        <w:pStyle w:val="Materialtyp1"/>
      </w:pPr>
      <w:r>
        <w:t>Handlungsanleitung</w:t>
      </w:r>
    </w:p>
    <w:p w:rsidR="00F65395" w:rsidRDefault="00F65395" w:rsidP="00C76E1E">
      <w:pPr>
        <w:pStyle w:val="Headline"/>
      </w:pPr>
      <w:r>
        <w:t>Kartenabfrage</w:t>
      </w:r>
    </w:p>
    <w:p w:rsidR="00C76E1E" w:rsidRDefault="00C76E1E" w:rsidP="00F65395">
      <w:pPr>
        <w:pStyle w:val="Teaser"/>
      </w:pPr>
      <w:r>
        <w:t xml:space="preserve">Die Kartenabfrage ist eine Allround-Methode, die mit wenig Aufwand an Zeit und Material durchzuführen ist. </w:t>
      </w:r>
      <w:r w:rsidR="00104C56">
        <w:t>Dabei kann mit einer Kartenabfrage zu vielen Fachthemen gearbeitet werden. Das Einzige, worauf Sie achten sollten, ist eine deutliche Handschrift.</w:t>
      </w:r>
    </w:p>
    <w:p w:rsidR="00C76E1E" w:rsidRPr="00C76E1E" w:rsidRDefault="00C76E1E" w:rsidP="00C76E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 w:cs="Arial"/>
          <w:sz w:val="24"/>
          <w:szCs w:val="24"/>
        </w:rPr>
      </w:pPr>
      <w:r w:rsidRPr="00C76E1E">
        <w:rPr>
          <w:rFonts w:ascii="Arial" w:eastAsia="Times New Roman" w:hAnsi="Arial" w:cs="Arial"/>
          <w:b/>
          <w:sz w:val="24"/>
          <w:szCs w:val="24"/>
        </w:rPr>
        <w:t xml:space="preserve">Ziel: </w:t>
      </w:r>
      <w:r w:rsidRPr="00C76E1E">
        <w:rPr>
          <w:rFonts w:ascii="Arial" w:eastAsia="Times New Roman" w:hAnsi="Arial" w:cs="Arial"/>
          <w:sz w:val="24"/>
          <w:szCs w:val="24"/>
        </w:rPr>
        <w:t>In ein Thema einsteigen; Wissen aktivieren; an Erfahrungen anknüpfen; Lernerfolg überprüfen; Informationen, Ideen, Themen, Vorschläge, Wünsche, Erwartungen, Visionen, Lösungsansätze äußern, sammeln oder kategorisieren; Komplexität darstellen; Informationen vernetzen; Ergebnisse sichern; Ergebnisse präsentieren; Evaluieren; Reflektieren; Diskussion anregen; Fokussieren</w:t>
      </w:r>
    </w:p>
    <w:p w:rsidR="00C76E1E" w:rsidRPr="007E7C4D" w:rsidRDefault="00C76E1E" w:rsidP="00C76E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2975AB">
        <w:rPr>
          <w:rFonts w:ascii="Arial" w:eastAsia="Times New Roman" w:hAnsi="Arial" w:cs="Arial"/>
          <w:b/>
          <w:sz w:val="24"/>
          <w:szCs w:val="24"/>
        </w:rPr>
        <w:t xml:space="preserve">Benötigtes Material: </w:t>
      </w:r>
      <w:r w:rsidRPr="00C76E1E">
        <w:rPr>
          <w:rFonts w:ascii="Arial" w:hAnsi="Arial" w:cs="Arial"/>
          <w:sz w:val="24"/>
          <w:szCs w:val="24"/>
        </w:rPr>
        <w:t>Moderationswand</w:t>
      </w:r>
      <w:r>
        <w:rPr>
          <w:rFonts w:ascii="Arial" w:hAnsi="Arial" w:cs="Arial"/>
          <w:sz w:val="24"/>
          <w:szCs w:val="24"/>
        </w:rPr>
        <w:t xml:space="preserve">, </w:t>
      </w:r>
      <w:r w:rsidRPr="00C76E1E">
        <w:rPr>
          <w:rFonts w:ascii="Arial" w:hAnsi="Arial" w:cs="Arial"/>
          <w:sz w:val="24"/>
          <w:szCs w:val="24"/>
        </w:rPr>
        <w:t>Moderationskarten</w:t>
      </w:r>
      <w:r>
        <w:rPr>
          <w:rFonts w:ascii="Arial" w:hAnsi="Arial" w:cs="Arial"/>
          <w:sz w:val="24"/>
          <w:szCs w:val="24"/>
        </w:rPr>
        <w:t>, Filzstifte</w:t>
      </w:r>
    </w:p>
    <w:p w:rsidR="00C76E1E" w:rsidRPr="002975AB" w:rsidRDefault="00C76E1E" w:rsidP="00C76E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2975AB">
        <w:rPr>
          <w:rFonts w:ascii="Arial" w:eastAsia="Times New Roman" w:hAnsi="Arial" w:cs="Arial"/>
          <w:b/>
          <w:sz w:val="24"/>
          <w:szCs w:val="24"/>
        </w:rPr>
        <w:t xml:space="preserve">Dauer: </w:t>
      </w:r>
      <w:r>
        <w:rPr>
          <w:rFonts w:ascii="Arial" w:eastAsia="Times New Roman" w:hAnsi="Arial" w:cs="Arial"/>
          <w:sz w:val="24"/>
          <w:szCs w:val="24"/>
        </w:rPr>
        <w:t>ohne Clustering</w:t>
      </w:r>
      <w:r w:rsidRPr="00C76E1E">
        <w:rPr>
          <w:rFonts w:ascii="Arial" w:eastAsia="Times New Roman" w:hAnsi="Arial" w:cs="Arial"/>
          <w:sz w:val="24"/>
          <w:szCs w:val="24"/>
        </w:rPr>
        <w:t xml:space="preserve"> bis zu zehn Minuten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C76E1E">
        <w:rPr>
          <w:rFonts w:ascii="Arial" w:eastAsia="Times New Roman" w:hAnsi="Arial" w:cs="Arial"/>
          <w:sz w:val="24"/>
          <w:szCs w:val="24"/>
        </w:rPr>
        <w:t>mit Clustering bis zu 20 Minuten</w:t>
      </w:r>
    </w:p>
    <w:p w:rsidR="00104C56" w:rsidRPr="008B12EB" w:rsidRDefault="00104C56" w:rsidP="00C76E1E">
      <w:pPr>
        <w:pStyle w:val="Flietext"/>
        <w:rPr>
          <w:i/>
          <w:sz w:val="20"/>
          <w:szCs w:val="20"/>
        </w:rPr>
      </w:pPr>
      <w:r w:rsidRPr="008B12EB">
        <w:rPr>
          <w:i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72F34EBE" wp14:editId="7B20C016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5760720" cy="2570480"/>
            <wp:effectExtent l="0" t="0" r="0" b="127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rtenabfr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2EB" w:rsidRPr="008B12EB">
        <w:rPr>
          <w:i/>
          <w:sz w:val="20"/>
          <w:szCs w:val="20"/>
        </w:rPr>
        <w:t xml:space="preserve">Abb. 1: Kartenabfrage </w:t>
      </w:r>
      <w:proofErr w:type="spellStart"/>
      <w:r w:rsidR="008B12EB" w:rsidRPr="008B12EB">
        <w:rPr>
          <w:i/>
          <w:sz w:val="20"/>
          <w:szCs w:val="20"/>
        </w:rPr>
        <w:t>geclustert</w:t>
      </w:r>
      <w:proofErr w:type="spellEnd"/>
    </w:p>
    <w:p w:rsidR="00104C56" w:rsidRDefault="00104C56" w:rsidP="00C76E1E">
      <w:pPr>
        <w:pStyle w:val="Flietext"/>
      </w:pPr>
      <w:bookmarkStart w:id="0" w:name="_GoBack"/>
      <w:bookmarkEnd w:id="0"/>
    </w:p>
    <w:p w:rsidR="00F65395" w:rsidRDefault="00C76E1E" w:rsidP="00C76E1E">
      <w:pPr>
        <w:pStyle w:val="Flietext"/>
      </w:pPr>
      <w:r>
        <w:t xml:space="preserve">Zunächst visualisiert die Kursleiterin oder der Kursleiter </w:t>
      </w:r>
      <w:r w:rsidR="00F65395">
        <w:t>den Gegenstand des Themas</w:t>
      </w:r>
      <w:r>
        <w:t xml:space="preserve">. Die </w:t>
      </w:r>
      <w:r w:rsidR="00F65395">
        <w:t>Lernende</w:t>
      </w:r>
      <w:r>
        <w:t>n</w:t>
      </w:r>
      <w:r w:rsidR="00F65395">
        <w:t xml:space="preserve"> finden </w:t>
      </w:r>
      <w:r>
        <w:t xml:space="preserve">dazu Assoziationen oder </w:t>
      </w:r>
      <w:r w:rsidR="00F65395">
        <w:t>Antworten und notieren diese auf Moderationskarten</w:t>
      </w:r>
      <w:r>
        <w:t xml:space="preserve">. Gemeinsam </w:t>
      </w:r>
      <w:r w:rsidR="00F65395">
        <w:t xml:space="preserve">bringen </w:t>
      </w:r>
      <w:r>
        <w:t xml:space="preserve">sie im Anschluss die </w:t>
      </w:r>
      <w:r w:rsidR="00F65395">
        <w:lastRenderedPageBreak/>
        <w:t xml:space="preserve">Moderationskarten an </w:t>
      </w:r>
      <w:r>
        <w:t xml:space="preserve">der </w:t>
      </w:r>
      <w:r w:rsidR="00F65395">
        <w:t>Moderationswand an</w:t>
      </w:r>
      <w:r>
        <w:t>. Dabei kommentieren die Lernenden ihre</w:t>
      </w:r>
      <w:r w:rsidR="00F65395">
        <w:t xml:space="preserve"> Karten</w:t>
      </w:r>
      <w:r>
        <w:t xml:space="preserve">. Es wird keine </w:t>
      </w:r>
      <w:r w:rsidR="00F65395">
        <w:t>Sortierung</w:t>
      </w:r>
      <w:r>
        <w:t xml:space="preserve">, Bewertung oder </w:t>
      </w:r>
      <w:r w:rsidR="00F65395">
        <w:t>Kritik vor</w:t>
      </w:r>
      <w:r>
        <w:t>ge</w:t>
      </w:r>
      <w:r w:rsidR="00F65395">
        <w:t>n</w:t>
      </w:r>
      <w:r>
        <w:t>om</w:t>
      </w:r>
      <w:r w:rsidR="00F65395">
        <w:t>men</w:t>
      </w:r>
      <w:r>
        <w:t xml:space="preserve">. </w:t>
      </w:r>
    </w:p>
    <w:p w:rsidR="00F65395" w:rsidRPr="00C76E1E" w:rsidRDefault="00F65395" w:rsidP="00C76E1E">
      <w:pPr>
        <w:pStyle w:val="Flietext"/>
        <w:rPr>
          <w:b/>
        </w:rPr>
      </w:pPr>
      <w:r w:rsidRPr="00C76E1E">
        <w:rPr>
          <w:b/>
        </w:rPr>
        <w:t>Variation</w:t>
      </w:r>
    </w:p>
    <w:p w:rsidR="00F65395" w:rsidRDefault="00F65395" w:rsidP="00C76E1E">
      <w:pPr>
        <w:pStyle w:val="Flietext"/>
      </w:pPr>
      <w:r>
        <w:t xml:space="preserve">Verschiedene </w:t>
      </w:r>
      <w:r w:rsidR="00C76E1E">
        <w:t xml:space="preserve">Farben bei den </w:t>
      </w:r>
      <w:r>
        <w:t>Moderationskarten</w:t>
      </w:r>
      <w:r w:rsidR="00C76E1E">
        <w:t xml:space="preserve"> werden</w:t>
      </w:r>
      <w:r>
        <w:t xml:space="preserve"> für verschiedene Fragestellun</w:t>
      </w:r>
      <w:r w:rsidR="00C76E1E">
        <w:t xml:space="preserve">gen oder </w:t>
      </w:r>
      <w:r>
        <w:t>Sichtweisen</w:t>
      </w:r>
      <w:r w:rsidR="00C76E1E">
        <w:t xml:space="preserve"> eingesetzt. Die </w:t>
      </w:r>
      <w:r>
        <w:t>Lernende</w:t>
      </w:r>
      <w:r w:rsidR="00C76E1E">
        <w:t>n</w:t>
      </w:r>
      <w:r>
        <w:t xml:space="preserve"> notieren </w:t>
      </w:r>
      <w:r w:rsidR="00C76E1E">
        <w:t>ihre</w:t>
      </w:r>
      <w:r>
        <w:t xml:space="preserve"> Assoziationen</w:t>
      </w:r>
      <w:r w:rsidR="00C76E1E">
        <w:t xml:space="preserve"> oder </w:t>
      </w:r>
      <w:r>
        <w:t>Antworten in Partner-</w:t>
      </w:r>
      <w:r w:rsidR="00C76E1E">
        <w:t xml:space="preserve"> oder </w:t>
      </w:r>
      <w:r>
        <w:t>Gruppenarbeit</w:t>
      </w:r>
      <w:r w:rsidR="00C76E1E">
        <w:t>. Beim Anbringen an die Moderationswand werden die Moderations</w:t>
      </w:r>
      <w:r>
        <w:t>karten sortiert/</w:t>
      </w:r>
      <w:proofErr w:type="spellStart"/>
      <w:r>
        <w:t>geclustert</w:t>
      </w:r>
      <w:proofErr w:type="spellEnd"/>
      <w:r w:rsidR="00C76E1E">
        <w:t xml:space="preserve">. </w:t>
      </w:r>
    </w:p>
    <w:p w:rsidR="00F65395" w:rsidRPr="00C76E1E" w:rsidRDefault="00F65395" w:rsidP="00C76E1E">
      <w:pPr>
        <w:pStyle w:val="Flietext"/>
        <w:rPr>
          <w:b/>
        </w:rPr>
      </w:pPr>
      <w:r w:rsidRPr="00C76E1E">
        <w:rPr>
          <w:b/>
        </w:rPr>
        <w:t>Gruppengröße/Sozialform</w:t>
      </w:r>
    </w:p>
    <w:p w:rsidR="00F65395" w:rsidRDefault="00F65395" w:rsidP="00C76E1E">
      <w:pPr>
        <w:pStyle w:val="Flietext"/>
      </w:pPr>
      <w:r>
        <w:t>Einzelarbeit</w:t>
      </w:r>
      <w:r w:rsidR="00C76E1E">
        <w:t xml:space="preserve">, </w:t>
      </w:r>
      <w:r>
        <w:t>Partnerarbeit</w:t>
      </w:r>
      <w:r w:rsidR="00C76E1E">
        <w:t xml:space="preserve">, </w:t>
      </w:r>
      <w:r>
        <w:t>Gruppenarbeit</w:t>
      </w:r>
      <w:r w:rsidR="00C76E1E">
        <w:t xml:space="preserve">, </w:t>
      </w:r>
      <w:r>
        <w:t xml:space="preserve">Plenum </w:t>
      </w:r>
    </w:p>
    <w:p w:rsidR="00C76E1E" w:rsidRDefault="00C76E1E" w:rsidP="00C76E1E">
      <w:pPr>
        <w:pStyle w:val="Zwischenberschrift"/>
      </w:pPr>
      <w:r>
        <w:t>Kombinationsmöglichkeiten</w:t>
      </w:r>
    </w:p>
    <w:p w:rsidR="00C76E1E" w:rsidRDefault="00C76E1E" w:rsidP="00C76E1E">
      <w:pPr>
        <w:pStyle w:val="Flietext"/>
      </w:pPr>
      <w:r>
        <w:t>vorher: Brainstorming, nachher: Clustering</w:t>
      </w:r>
    </w:p>
    <w:p w:rsidR="00104C56" w:rsidRDefault="00104C56" w:rsidP="00C76E1E">
      <w:pPr>
        <w:pStyle w:val="Flietext"/>
      </w:pPr>
    </w:p>
    <w:p w:rsidR="00104C56" w:rsidRDefault="00104C56" w:rsidP="00104C56">
      <w:pPr>
        <w:pStyle w:val="Quelle"/>
      </w:pPr>
      <w:r>
        <w:t xml:space="preserve">Quelle: Bergedick, A., Rohr, D., &amp; Wegener, A. (2011). </w:t>
      </w:r>
      <w:r w:rsidRPr="008B12EB">
        <w:rPr>
          <w:i/>
        </w:rPr>
        <w:t>Bilden mit Bildern. Visualisieren in der Weiterbildung.</w:t>
      </w:r>
      <w:r>
        <w:t xml:space="preserve"> Bielefeld: W. Bertelsmann</w:t>
      </w:r>
    </w:p>
    <w:p w:rsidR="00104C56" w:rsidRDefault="00104C56" w:rsidP="00C76E1E">
      <w:pPr>
        <w:pStyle w:val="Flietext"/>
      </w:pPr>
    </w:p>
    <w:sectPr w:rsidR="00104C56" w:rsidSect="00FD3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2EB" w:rsidRDefault="008B12EB" w:rsidP="00014AE4">
      <w:pPr>
        <w:spacing w:after="0" w:line="240" w:lineRule="auto"/>
      </w:pPr>
      <w:r>
        <w:separator/>
      </w:r>
    </w:p>
  </w:endnote>
  <w:endnote w:type="continuationSeparator" w:id="0">
    <w:p w:rsidR="008B12EB" w:rsidRDefault="008B12EB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EB" w:rsidRDefault="008B12E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EB" w:rsidRDefault="008B12EB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12EB" w:rsidRDefault="008B12EB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8B12EB" w:rsidRDefault="008B12EB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8B12EB" w:rsidRPr="00DD24C8" w:rsidRDefault="008B12EB" w:rsidP="00DD24C8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  <w:bdr w:val="none" w:sz="0" w:space="0" w:color="auto" w:frame="1"/>
      </w:rPr>
    </w:pPr>
    <w:r>
      <w:rPr>
        <w:rFonts w:ascii="Arial" w:hAnsi="Arial" w:cs="Arial"/>
        <w:color w:val="333333"/>
        <w:sz w:val="16"/>
        <w:szCs w:val="16"/>
      </w:rPr>
      <w:t>Dieses Material steht unter der Creative-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Weitergabe unter gleichen Bedingungen 3.0 DE. Um eine Kopie dieser Lizenz zu sehen, besuchen Sie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>
      <w:rPr>
        <w:rFonts w:ascii="Arial" w:hAnsi="Arial" w:cs="Arial"/>
        <w:color w:val="333333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EB" w:rsidRDefault="008B12E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2EB" w:rsidRDefault="008B12EB" w:rsidP="00014AE4">
      <w:pPr>
        <w:spacing w:after="0" w:line="240" w:lineRule="auto"/>
      </w:pPr>
      <w:r>
        <w:separator/>
      </w:r>
    </w:p>
  </w:footnote>
  <w:footnote w:type="continuationSeparator" w:id="0">
    <w:p w:rsidR="008B12EB" w:rsidRDefault="008B12EB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EB" w:rsidRDefault="008B12E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EB" w:rsidRDefault="008B12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BA26F61" wp14:editId="7197982E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12EB" w:rsidRPr="00AC2223" w:rsidRDefault="008B12EB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AC222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wb-web.de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8B12EB" w:rsidRPr="00AC2223" w:rsidRDefault="008B12EB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C222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wb-web.de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EB" w:rsidRDefault="008B12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104C56"/>
    <w:rsid w:val="0017476E"/>
    <w:rsid w:val="00206FAA"/>
    <w:rsid w:val="0022296F"/>
    <w:rsid w:val="00333725"/>
    <w:rsid w:val="0048036C"/>
    <w:rsid w:val="004A33CC"/>
    <w:rsid w:val="00506977"/>
    <w:rsid w:val="00527C57"/>
    <w:rsid w:val="00532DF3"/>
    <w:rsid w:val="00574BEB"/>
    <w:rsid w:val="005B2946"/>
    <w:rsid w:val="005C0361"/>
    <w:rsid w:val="006027BA"/>
    <w:rsid w:val="0061648F"/>
    <w:rsid w:val="00621195"/>
    <w:rsid w:val="006246A2"/>
    <w:rsid w:val="00635D7A"/>
    <w:rsid w:val="006737AB"/>
    <w:rsid w:val="0067451F"/>
    <w:rsid w:val="006D5D2F"/>
    <w:rsid w:val="00723B4B"/>
    <w:rsid w:val="00745EE5"/>
    <w:rsid w:val="0074684B"/>
    <w:rsid w:val="007930AE"/>
    <w:rsid w:val="00862F3E"/>
    <w:rsid w:val="008B12EB"/>
    <w:rsid w:val="008C1D48"/>
    <w:rsid w:val="00913C77"/>
    <w:rsid w:val="0095483E"/>
    <w:rsid w:val="00A651A5"/>
    <w:rsid w:val="00A7652F"/>
    <w:rsid w:val="00AC2223"/>
    <w:rsid w:val="00B01655"/>
    <w:rsid w:val="00B038C0"/>
    <w:rsid w:val="00B11ED0"/>
    <w:rsid w:val="00B27E74"/>
    <w:rsid w:val="00B70DAA"/>
    <w:rsid w:val="00BC2391"/>
    <w:rsid w:val="00C07190"/>
    <w:rsid w:val="00C3075E"/>
    <w:rsid w:val="00C675B9"/>
    <w:rsid w:val="00C76E1E"/>
    <w:rsid w:val="00C93D17"/>
    <w:rsid w:val="00CA33A1"/>
    <w:rsid w:val="00D17A67"/>
    <w:rsid w:val="00DB4FF9"/>
    <w:rsid w:val="00DD24C8"/>
    <w:rsid w:val="00E056E0"/>
    <w:rsid w:val="00E53294"/>
    <w:rsid w:val="00E5546C"/>
    <w:rsid w:val="00E678F7"/>
    <w:rsid w:val="00E84DD0"/>
    <w:rsid w:val="00ED0DBD"/>
    <w:rsid w:val="00ED65AA"/>
    <w:rsid w:val="00F65395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17C5BFA-7C8A-4C4F-B0E1-3263B6E9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DD2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96866-8097-4F7C-B876-32A501A2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7BA98625.dotm</Template>
  <TotalTime>0</TotalTime>
  <Pages>2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Quilling, Kathrin</cp:lastModifiedBy>
  <cp:revision>5</cp:revision>
  <cp:lastPrinted>2015-10-16T10:30:00Z</cp:lastPrinted>
  <dcterms:created xsi:type="dcterms:W3CDTF">2016-02-24T16:01:00Z</dcterms:created>
  <dcterms:modified xsi:type="dcterms:W3CDTF">2016-02-29T10:06:00Z</dcterms:modified>
</cp:coreProperties>
</file>