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DEDF" w14:textId="77777777" w:rsidR="007A3370" w:rsidRPr="007A3370" w:rsidRDefault="007A3370" w:rsidP="007A3370">
      <w:pPr>
        <w:pStyle w:val="Materialtyp1"/>
        <w:rPr>
          <w:lang w:eastAsia="en-US"/>
        </w:rPr>
      </w:pPr>
      <w:r w:rsidRPr="007A3370">
        <w:rPr>
          <w:lang w:eastAsia="en-US"/>
        </w:rPr>
        <w:t>Handlungsanleitung</w:t>
      </w:r>
    </w:p>
    <w:p w14:paraId="7D52F663" w14:textId="77777777" w:rsidR="007A3370" w:rsidRPr="007A3370" w:rsidRDefault="007A3370" w:rsidP="007A3370">
      <w:pPr>
        <w:pStyle w:val="Headline"/>
        <w:rPr>
          <w:lang w:eastAsia="en-US"/>
        </w:rPr>
      </w:pPr>
      <w:r>
        <w:rPr>
          <w:lang w:eastAsia="en-US"/>
        </w:rPr>
        <w:t>Stationen des Lernens im Lernbiogramm</w:t>
      </w:r>
    </w:p>
    <w:p w14:paraId="72C32B06" w14:textId="423C43D8" w:rsidR="007A3370" w:rsidRDefault="007A3370" w:rsidP="007A3370">
      <w:pPr>
        <w:pStyle w:val="Teaser"/>
        <w:rPr>
          <w:bdr w:val="none" w:sz="0" w:space="0" w:color="auto"/>
          <w:lang w:eastAsia="en-US"/>
        </w:rPr>
      </w:pPr>
      <w:r w:rsidRPr="007A3370">
        <w:rPr>
          <w:bdr w:val="none" w:sz="0" w:space="0" w:color="auto"/>
          <w:lang w:eastAsia="en-US"/>
        </w:rPr>
        <w:t xml:space="preserve">Mit dem Lernbiogramm können Lebensabschnitte und konkrete Lernsituationen </w:t>
      </w:r>
      <w:r w:rsidR="003571DF">
        <w:rPr>
          <w:bdr w:val="none" w:sz="0" w:space="0" w:color="auto"/>
          <w:lang w:eastAsia="en-US"/>
        </w:rPr>
        <w:t xml:space="preserve">in einer Lernberatung </w:t>
      </w:r>
      <w:r w:rsidRPr="007A3370">
        <w:rPr>
          <w:bdr w:val="none" w:sz="0" w:space="0" w:color="auto"/>
          <w:lang w:eastAsia="en-US"/>
        </w:rPr>
        <w:t>dargestellt werden. So werden Kompetenzen und Qualifikationen der lernenden Person ermittelt. Das Lernbiogramm kann mit der Beraterin oder allein ausgefüllt werden. Auch in informellen, alltäglichen oder lebenslaufspezifischen Situationen erworbene Kompetenzen werden hier sichtbar.</w:t>
      </w:r>
    </w:p>
    <w:p w14:paraId="1D039574" w14:textId="3A4CC3A0" w:rsidR="007123A6" w:rsidRPr="007123A6" w:rsidRDefault="007123A6" w:rsidP="007A3370">
      <w:pPr>
        <w:pStyle w:val="Teaser"/>
        <w:rPr>
          <w:b w:val="0"/>
          <w:bCs/>
          <w:bdr w:val="none" w:sz="0" w:space="0" w:color="auto"/>
          <w:lang w:eastAsia="en-US"/>
        </w:rPr>
      </w:pPr>
      <w:r w:rsidRPr="007123A6">
        <w:rPr>
          <w:b w:val="0"/>
          <w:bCs/>
          <w:i/>
          <w:iCs/>
        </w:rPr>
        <w:t>Der folgende Text ist angelehnt an:  Knoll, J. (2008). Lern- und Bildungsberatung. Professionell beraten in der Weiterbildung. Bielefeld: W. Bertelsmann.  S. 102f.</w:t>
      </w:r>
    </w:p>
    <w:p w14:paraId="44567725" w14:textId="0EDD2007" w:rsidR="007A3370" w:rsidRPr="007A3370" w:rsidRDefault="007A3370" w:rsidP="007A3370">
      <w:pPr>
        <w:pStyle w:val="Flietext"/>
        <w:rPr>
          <w:bdr w:val="none" w:sz="0" w:space="0" w:color="auto"/>
          <w:lang w:eastAsia="en-US"/>
        </w:rPr>
      </w:pPr>
      <w:r w:rsidRPr="007A3370">
        <w:rPr>
          <w:bdr w:val="none" w:sz="0" w:space="0" w:color="auto"/>
          <w:lang w:eastAsia="en-US"/>
        </w:rPr>
        <w:t>In der horizontalen Ebene trägt man Stationen der Biogra</w:t>
      </w:r>
      <w:r w:rsidR="007123A6">
        <w:rPr>
          <w:bdr w:val="none" w:sz="0" w:space="0" w:color="auto"/>
          <w:lang w:eastAsia="en-US"/>
        </w:rPr>
        <w:t>f</w:t>
      </w:r>
      <w:r w:rsidRPr="007A3370">
        <w:rPr>
          <w:bdr w:val="none" w:sz="0" w:space="0" w:color="auto"/>
          <w:lang w:eastAsia="en-US"/>
        </w:rPr>
        <w:t>ie ein (Schulausbildung, Berufsausbildung, Arbeitsstellen, längerfristige Lehrgänge, Babypause etc.). In der senkrechten Ebene werden Situationen und Anlässe eingetragen, in denen etwas gelernt wurde. Das entsprechende Kästchen auf der Zeitleiste wird angekreuzt.</w:t>
      </w:r>
    </w:p>
    <w:p w14:paraId="4425AAEC" w14:textId="77777777" w:rsidR="007A3370" w:rsidRPr="007A3370" w:rsidRDefault="007A3370" w:rsidP="007A3370">
      <w:pPr>
        <w:pStyle w:val="Flietext"/>
        <w:rPr>
          <w:bdr w:val="none" w:sz="0" w:space="0" w:color="auto"/>
          <w:lang w:eastAsia="en-US"/>
        </w:rPr>
      </w:pPr>
      <w:r w:rsidRPr="007A3370">
        <w:rPr>
          <w:bdr w:val="none" w:sz="0" w:space="0" w:color="auto"/>
          <w:lang w:eastAsia="en-US"/>
        </w:rPr>
        <w:t>Kompetenzen, die Sie in den jeweiligen Situationen erworben wurden, werden ebenfalls erfasst.</w:t>
      </w:r>
    </w:p>
    <w:p w14:paraId="477B49E1" w14:textId="77777777" w:rsidR="007A3370" w:rsidRPr="007A3370" w:rsidRDefault="007A3370" w:rsidP="007A3370">
      <w:pPr>
        <w:pStyle w:val="Flietext"/>
        <w:rPr>
          <w:bdr w:val="none" w:sz="0" w:space="0" w:color="auto"/>
          <w:lang w:eastAsia="en-US"/>
        </w:rPr>
      </w:pPr>
      <w:r w:rsidRPr="007A3370">
        <w:rPr>
          <w:bdr w:val="none" w:sz="0" w:space="0" w:color="auto"/>
          <w:lang w:eastAsia="en-US"/>
        </w:rPr>
        <w:t xml:space="preserve">So kann ein Lernbiogramm aussehen: </w:t>
      </w:r>
    </w:p>
    <w:p w14:paraId="5FCE19DF" w14:textId="77777777" w:rsidR="007A3370" w:rsidRPr="007A3370" w:rsidRDefault="007A3370" w:rsidP="007A3370">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bdr w:val="none" w:sz="0" w:space="0" w:color="auto"/>
          <w:lang w:eastAsia="en-US"/>
        </w:rPr>
      </w:pPr>
      <w:r w:rsidRPr="007A3370">
        <w:rPr>
          <w:rFonts w:cs="Times New Roman"/>
          <w:noProof/>
          <w:color w:val="auto"/>
          <w:bdr w:val="none" w:sz="0" w:space="0" w:color="auto"/>
        </w:rPr>
        <w:drawing>
          <wp:inline distT="0" distB="0" distL="0" distR="0" wp14:anchorId="4F00D3D4" wp14:editId="06D58977">
            <wp:extent cx="4857750" cy="2839777"/>
            <wp:effectExtent l="114300" t="114300" r="133350" b="15113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694" t="21180" r="30651" b="17828"/>
                    <a:stretch/>
                  </pic:blipFill>
                  <pic:spPr bwMode="auto">
                    <a:xfrm>
                      <a:off x="0" y="0"/>
                      <a:ext cx="4890411" cy="2858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6939C14" w14:textId="6AEE7BEE" w:rsidR="007A3370" w:rsidRDefault="007A3370" w:rsidP="007A3370">
      <w:pPr>
        <w:pStyle w:val="Flietext"/>
        <w:rPr>
          <w:bdr w:val="none" w:sz="0" w:space="0" w:color="auto"/>
          <w:lang w:eastAsia="en-US"/>
        </w:rPr>
      </w:pPr>
      <w:r>
        <w:rPr>
          <w:bdr w:val="none" w:sz="0" w:space="0" w:color="auto"/>
          <w:lang w:eastAsia="en-US"/>
        </w:rPr>
        <w:lastRenderedPageBreak/>
        <w:t>Auf der folgenden Seite</w:t>
      </w:r>
      <w:r w:rsidR="00684E7D">
        <w:rPr>
          <w:bdr w:val="none" w:sz="0" w:space="0" w:color="auto"/>
          <w:lang w:eastAsia="en-US"/>
        </w:rPr>
        <w:t xml:space="preserve"> finden Sie eine </w:t>
      </w:r>
      <w:r w:rsidR="00684E7D" w:rsidRPr="003571DF">
        <w:rPr>
          <w:b/>
          <w:bdr w:val="none" w:sz="0" w:space="0" w:color="auto"/>
          <w:lang w:eastAsia="en-US"/>
        </w:rPr>
        <w:t>Vorlage</w:t>
      </w:r>
      <w:r w:rsidR="00684E7D">
        <w:rPr>
          <w:bdr w:val="none" w:sz="0" w:space="0" w:color="auto"/>
          <w:lang w:eastAsia="en-US"/>
        </w:rPr>
        <w:t xml:space="preserve"> </w:t>
      </w:r>
      <w:r w:rsidRPr="007A3370">
        <w:rPr>
          <w:bdr w:val="none" w:sz="0" w:space="0" w:color="auto"/>
          <w:lang w:eastAsia="en-US"/>
        </w:rPr>
        <w:t xml:space="preserve">für ein Lernbiogramm, das Sie </w:t>
      </w:r>
      <w:r>
        <w:rPr>
          <w:bdr w:val="none" w:sz="0" w:space="0" w:color="auto"/>
          <w:lang w:eastAsia="en-US"/>
        </w:rPr>
        <w:t xml:space="preserve">nach Ihren Vorstellungen anpassen und </w:t>
      </w:r>
      <w:r w:rsidRPr="007A3370">
        <w:rPr>
          <w:bdr w:val="none" w:sz="0" w:space="0" w:color="auto"/>
          <w:lang w:eastAsia="en-US"/>
        </w:rPr>
        <w:t>in einer Beratungssituation ausfüllen (lassen) können:</w:t>
      </w:r>
    </w:p>
    <w:p w14:paraId="127FE1A9" w14:textId="05C2BE00" w:rsidR="000A44F1" w:rsidRDefault="007123A6" w:rsidP="007123A6">
      <w:pPr>
        <w:pStyle w:val="Flietext"/>
      </w:pPr>
      <w:r>
        <w:rPr>
          <w:noProof/>
        </w:rPr>
        <w:drawing>
          <wp:inline distT="0" distB="0" distL="0" distR="0" wp14:anchorId="4FFCF865" wp14:editId="0A9AAD14">
            <wp:extent cx="4796790" cy="5694602"/>
            <wp:effectExtent l="8572"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4807113" cy="5706857"/>
                    </a:xfrm>
                    <a:prstGeom prst="rect">
                      <a:avLst/>
                    </a:prstGeom>
                  </pic:spPr>
                </pic:pic>
              </a:graphicData>
            </a:graphic>
          </wp:inline>
        </w:drawing>
      </w:r>
    </w:p>
    <w:p w14:paraId="6172585C" w14:textId="77777777" w:rsidR="007123A6" w:rsidRPr="007A3370" w:rsidRDefault="007123A6" w:rsidP="007123A6">
      <w:pPr>
        <w:pStyle w:val="Quelle"/>
        <w:rPr>
          <w:bdr w:val="none" w:sz="0" w:space="0" w:color="auto"/>
          <w:lang w:eastAsia="en-US"/>
        </w:rPr>
      </w:pPr>
      <w:r w:rsidRPr="007A3370">
        <w:rPr>
          <w:bdr w:val="none" w:sz="0" w:space="0" w:color="auto"/>
          <w:lang w:eastAsia="en-US"/>
        </w:rPr>
        <w:t>Quelle: Jörg Knoll</w:t>
      </w:r>
      <w:r>
        <w:rPr>
          <w:bdr w:val="none" w:sz="0" w:space="0" w:color="auto"/>
          <w:lang w:eastAsia="en-US"/>
        </w:rPr>
        <w:t xml:space="preserve"> (2008).</w:t>
      </w:r>
      <w:r w:rsidRPr="007A3370">
        <w:rPr>
          <w:bdr w:val="none" w:sz="0" w:space="0" w:color="auto"/>
          <w:lang w:eastAsia="en-US"/>
        </w:rPr>
        <w:t xml:space="preserve"> </w:t>
      </w:r>
      <w:r w:rsidRPr="003571DF">
        <w:rPr>
          <w:i/>
          <w:bdr w:val="none" w:sz="0" w:space="0" w:color="auto"/>
          <w:lang w:eastAsia="en-US"/>
        </w:rPr>
        <w:t>Lern- und Bildungsberatung. Professionell beraten in der Weiterbildung.</w:t>
      </w:r>
      <w:r w:rsidRPr="007A3370">
        <w:rPr>
          <w:bdr w:val="none" w:sz="0" w:space="0" w:color="auto"/>
          <w:lang w:eastAsia="en-US"/>
        </w:rPr>
        <w:t xml:space="preserve"> </w:t>
      </w:r>
      <w:r>
        <w:rPr>
          <w:bdr w:val="none" w:sz="0" w:space="0" w:color="auto"/>
          <w:lang w:eastAsia="en-US"/>
        </w:rPr>
        <w:t>Bielefeld: W. Bertelsmann. S. 102f.</w:t>
      </w:r>
    </w:p>
    <w:p w14:paraId="1AFFC697" w14:textId="77777777" w:rsidR="007123A6" w:rsidRPr="007A3370" w:rsidRDefault="007123A6" w:rsidP="007123A6">
      <w:pPr>
        <w:pStyle w:val="Flietext"/>
      </w:pPr>
    </w:p>
    <w:sectPr w:rsidR="007123A6" w:rsidRPr="007A3370" w:rsidSect="00C55EE8">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1EEE" w14:textId="77777777" w:rsidR="00D43739" w:rsidRDefault="00D43739" w:rsidP="00014AE4">
      <w:pPr>
        <w:spacing w:after="0" w:line="240" w:lineRule="auto"/>
      </w:pPr>
      <w:r>
        <w:separator/>
      </w:r>
    </w:p>
  </w:endnote>
  <w:endnote w:type="continuationSeparator" w:id="0">
    <w:p w14:paraId="63B3CC43" w14:textId="77777777" w:rsidR="00D43739" w:rsidRDefault="00D4373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975E" w14:textId="77777777" w:rsidR="00B25145" w:rsidRDefault="00B2514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47BD276C" wp14:editId="3E9E2D68">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5C90CC7C" w14:textId="77777777" w:rsidR="00B25145" w:rsidRDefault="00B25145" w:rsidP="00DB4FF9">
    <w:pPr>
      <w:autoSpaceDE w:val="0"/>
      <w:autoSpaceDN w:val="0"/>
      <w:adjustRightInd w:val="0"/>
      <w:spacing w:after="0" w:line="240" w:lineRule="auto"/>
      <w:rPr>
        <w:rFonts w:ascii="DINPro" w:hAnsi="DINPro" w:cs="DINPro"/>
        <w:color w:val="333333"/>
        <w:sz w:val="16"/>
        <w:szCs w:val="16"/>
      </w:rPr>
    </w:pPr>
  </w:p>
  <w:p w14:paraId="3A019AFF" w14:textId="77777777" w:rsidR="00B25145" w:rsidRDefault="00B25145" w:rsidP="00DB4FF9">
    <w:pPr>
      <w:autoSpaceDE w:val="0"/>
      <w:autoSpaceDN w:val="0"/>
      <w:adjustRightInd w:val="0"/>
      <w:spacing w:after="0" w:line="240" w:lineRule="auto"/>
      <w:rPr>
        <w:rFonts w:ascii="DINPro" w:hAnsi="DINPro" w:cs="DINPro"/>
        <w:color w:val="333333"/>
        <w:sz w:val="16"/>
        <w:szCs w:val="16"/>
      </w:rPr>
    </w:pPr>
  </w:p>
  <w:p w14:paraId="6AA3FC54" w14:textId="77777777" w:rsidR="00684E7D" w:rsidRDefault="00684E7D" w:rsidP="00DB4FF9">
    <w:pPr>
      <w:autoSpaceDE w:val="0"/>
      <w:autoSpaceDN w:val="0"/>
      <w:adjustRightInd w:val="0"/>
      <w:spacing w:after="0" w:line="240" w:lineRule="auto"/>
      <w:rPr>
        <w:rFonts w:ascii="DINPro" w:hAnsi="DINPro" w:cs="DINPro"/>
        <w:color w:val="333333"/>
        <w:sz w:val="16"/>
        <w:szCs w:val="16"/>
      </w:rPr>
    </w:pPr>
  </w:p>
  <w:p w14:paraId="30141E99" w14:textId="77777777" w:rsidR="00684E7D" w:rsidRPr="00DB4FF9" w:rsidRDefault="00684E7D" w:rsidP="00684E7D">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w:t>
    </w:r>
    <w:r>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Pr="00DA24B3">
        <w:rPr>
          <w:rStyle w:val="Hyperlink"/>
          <w:rFonts w:ascii="Arial" w:hAnsi="Arial" w:cs="Arial"/>
          <w:sz w:val="16"/>
          <w:szCs w:val="16"/>
        </w:rPr>
        <w:t>http://creativecommons.org/licenses/by-sa/3.0/de/</w:t>
      </w:r>
    </w:hyperlink>
  </w:p>
  <w:p w14:paraId="0EE6A5A2" w14:textId="77777777" w:rsidR="00B25145" w:rsidRPr="00DB4FF9" w:rsidRDefault="00B25145" w:rsidP="00684E7D">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345D" w14:textId="77777777" w:rsidR="00D43739" w:rsidRDefault="00D43739" w:rsidP="00014AE4">
      <w:pPr>
        <w:spacing w:after="0" w:line="240" w:lineRule="auto"/>
      </w:pPr>
      <w:r>
        <w:separator/>
      </w:r>
    </w:p>
  </w:footnote>
  <w:footnote w:type="continuationSeparator" w:id="0">
    <w:p w14:paraId="6B693B18" w14:textId="77777777" w:rsidR="00D43739" w:rsidRDefault="00D43739"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B674" w14:textId="77777777" w:rsidR="00B25145" w:rsidRDefault="00B25145">
    <w:pPr>
      <w:pStyle w:val="Kopfzeile"/>
    </w:pPr>
    <w:r>
      <w:rPr>
        <w:noProof/>
        <w:lang w:eastAsia="de-DE"/>
      </w:rPr>
      <w:drawing>
        <wp:anchor distT="0" distB="0" distL="114300" distR="114300" simplePos="0" relativeHeight="251664384" behindDoc="1" locked="0" layoutInCell="1" allowOverlap="1" wp14:anchorId="012E69A0" wp14:editId="6C96D97E">
          <wp:simplePos x="0" y="0"/>
          <wp:positionH relativeFrom="page">
            <wp:align>left</wp:align>
          </wp:positionH>
          <wp:positionV relativeFrom="paragraph">
            <wp:posOffset>-433070</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7222A3B8" wp14:editId="35EFB345">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540BA15" w14:textId="77777777" w:rsidR="00684E7D" w:rsidRPr="00AC2223" w:rsidRDefault="00000000" w:rsidP="00684E7D">
                          <w:pPr>
                            <w:jc w:val="right"/>
                            <w:rPr>
                              <w:rFonts w:ascii="Arial" w:hAnsi="Arial" w:cs="Arial"/>
                              <w:i/>
                              <w:sz w:val="18"/>
                              <w:szCs w:val="18"/>
                            </w:rPr>
                          </w:pPr>
                          <w:hyperlink r:id="rId2" w:history="1">
                            <w:r w:rsidR="00684E7D">
                              <w:rPr>
                                <w:rFonts w:ascii="Arial" w:eastAsiaTheme="minorHAnsi" w:hAnsi="Arial" w:cs="Arial"/>
                                <w:i/>
                                <w:iCs/>
                                <w:color w:val="0000FF"/>
                                <w:sz w:val="18"/>
                                <w:szCs w:val="18"/>
                                <w:u w:val="single"/>
                                <w:bdr w:val="none" w:sz="0" w:space="0" w:color="auto"/>
                                <w:lang w:eastAsia="en-US"/>
                              </w:rPr>
                              <w:t>wb-web.de</w:t>
                            </w:r>
                          </w:hyperlink>
                        </w:p>
                        <w:p w14:paraId="2F2FA686" w14:textId="77777777" w:rsidR="00B25145" w:rsidRPr="00AC2223" w:rsidRDefault="00B25145"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84E7D" w:rsidRPr="00AC2223" w:rsidRDefault="00684E7D" w:rsidP="00684E7D">
                    <w:pPr>
                      <w:jc w:val="right"/>
                      <w:rPr>
                        <w:rFonts w:ascii="Arial" w:hAnsi="Arial" w:cs="Arial"/>
                        <w:i/>
                        <w:sz w:val="18"/>
                        <w:szCs w:val="18"/>
                      </w:rPr>
                    </w:pPr>
                    <w:hyperlink r:id="rId3" w:history="1">
                      <w:r>
                        <w:rPr>
                          <w:rFonts w:ascii="Arial" w:eastAsiaTheme="minorHAnsi" w:hAnsi="Arial" w:cs="Arial"/>
                          <w:i/>
                          <w:iCs/>
                          <w:color w:val="0000FF"/>
                          <w:sz w:val="18"/>
                          <w:szCs w:val="18"/>
                          <w:u w:val="single"/>
                          <w:bdr w:val="none" w:sz="0" w:space="0" w:color="auto"/>
                          <w:lang w:eastAsia="en-US"/>
                        </w:rPr>
                        <w:t>wb-web.de</w:t>
                      </w:r>
                    </w:hyperlink>
                  </w:p>
                  <w:p w:rsidR="00B25145" w:rsidRPr="00AC2223" w:rsidRDefault="00B25145" w:rsidP="00C93D17">
                    <w:pPr>
                      <w:jc w:val="right"/>
                      <w:rPr>
                        <w:rFonts w:ascii="Arial" w:hAnsi="Arial" w:cs="Arial"/>
                        <w:i/>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0933180">
    <w:abstractNumId w:val="0"/>
  </w:num>
  <w:num w:numId="2" w16cid:durableId="57100249">
    <w:abstractNumId w:val="1"/>
  </w:num>
  <w:num w:numId="3" w16cid:durableId="21771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7476E"/>
    <w:rsid w:val="00206FAA"/>
    <w:rsid w:val="0022296F"/>
    <w:rsid w:val="00333725"/>
    <w:rsid w:val="003571DF"/>
    <w:rsid w:val="0048036C"/>
    <w:rsid w:val="004A33CC"/>
    <w:rsid w:val="00506977"/>
    <w:rsid w:val="00527C57"/>
    <w:rsid w:val="00574BEB"/>
    <w:rsid w:val="005B2946"/>
    <w:rsid w:val="005C0361"/>
    <w:rsid w:val="006027BA"/>
    <w:rsid w:val="0061648F"/>
    <w:rsid w:val="00621195"/>
    <w:rsid w:val="006246A2"/>
    <w:rsid w:val="00635D7A"/>
    <w:rsid w:val="0067451F"/>
    <w:rsid w:val="00684E7D"/>
    <w:rsid w:val="006D5D2F"/>
    <w:rsid w:val="007123A6"/>
    <w:rsid w:val="00723B4B"/>
    <w:rsid w:val="00745EE5"/>
    <w:rsid w:val="0074684B"/>
    <w:rsid w:val="007930AE"/>
    <w:rsid w:val="007A3370"/>
    <w:rsid w:val="00862F3E"/>
    <w:rsid w:val="008C1D48"/>
    <w:rsid w:val="00913C77"/>
    <w:rsid w:val="0095483E"/>
    <w:rsid w:val="00A651A5"/>
    <w:rsid w:val="00A7652F"/>
    <w:rsid w:val="00AC2223"/>
    <w:rsid w:val="00B01655"/>
    <w:rsid w:val="00B11ED0"/>
    <w:rsid w:val="00B25145"/>
    <w:rsid w:val="00B27E74"/>
    <w:rsid w:val="00B70DAA"/>
    <w:rsid w:val="00B73599"/>
    <w:rsid w:val="00BC2391"/>
    <w:rsid w:val="00C07190"/>
    <w:rsid w:val="00C3075E"/>
    <w:rsid w:val="00C55EE8"/>
    <w:rsid w:val="00C675B9"/>
    <w:rsid w:val="00C93D17"/>
    <w:rsid w:val="00CA33A1"/>
    <w:rsid w:val="00D17A67"/>
    <w:rsid w:val="00D43739"/>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C06E"/>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73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84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AFD1F-5434-42E8-A5EA-CC205895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2015-11-10T14:12:00Z</cp:lastPrinted>
  <dcterms:created xsi:type="dcterms:W3CDTF">2022-10-24T12:31:00Z</dcterms:created>
  <dcterms:modified xsi:type="dcterms:W3CDTF">2022-10-24T12:31:00Z</dcterms:modified>
</cp:coreProperties>
</file>